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D8BE1" w14:textId="0ED61059" w:rsidR="008A0F2F" w:rsidRPr="008A0F2F" w:rsidRDefault="006C1FBD" w:rsidP="008A0F2F">
      <w:pPr>
        <w:spacing w:after="0"/>
        <w:jc w:val="both"/>
        <w:rPr>
          <w:b/>
          <w:color w:val="86789C"/>
          <w:sz w:val="36"/>
          <w:szCs w:val="36"/>
          <w:lang w:val="fr-FR"/>
        </w:rPr>
      </w:pPr>
      <w:r w:rsidRPr="00FA58EA">
        <w:rPr>
          <w:b/>
          <w:noProof/>
          <w:color w:val="86789C"/>
          <w:sz w:val="36"/>
          <w:szCs w:val="36"/>
          <w:lang w:val="fr-FR" w:eastAsia="fr-FR"/>
        </w:rPr>
        <w:drawing>
          <wp:anchor distT="0" distB="0" distL="114300" distR="114300" simplePos="0" relativeHeight="251658240" behindDoc="1" locked="0" layoutInCell="1" allowOverlap="1" wp14:anchorId="673C7F2C" wp14:editId="4E276B0E">
            <wp:simplePos x="0" y="0"/>
            <wp:positionH relativeFrom="margin">
              <wp:align>left</wp:align>
            </wp:positionH>
            <wp:positionV relativeFrom="paragraph">
              <wp:posOffset>6927</wp:posOffset>
            </wp:positionV>
            <wp:extent cx="572135" cy="560705"/>
            <wp:effectExtent l="0" t="0" r="0" b="0"/>
            <wp:wrapTight wrapText="bothSides">
              <wp:wrapPolygon edited="0">
                <wp:start x="0" y="0"/>
                <wp:lineTo x="0" y="20548"/>
                <wp:lineTo x="20857" y="20548"/>
                <wp:lineTo x="20857"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6244" cy="594298"/>
                    </a:xfrm>
                    <a:prstGeom prst="rect">
                      <a:avLst/>
                    </a:prstGeom>
                  </pic:spPr>
                </pic:pic>
              </a:graphicData>
            </a:graphic>
            <wp14:sizeRelH relativeFrom="margin">
              <wp14:pctWidth>0</wp14:pctWidth>
            </wp14:sizeRelH>
            <wp14:sizeRelV relativeFrom="margin">
              <wp14:pctHeight>0</wp14:pctHeight>
            </wp14:sizeRelV>
          </wp:anchor>
        </w:drawing>
      </w:r>
      <w:r w:rsidR="008A0F2F" w:rsidRPr="008A0F2F">
        <w:rPr>
          <w:b/>
          <w:color w:val="86789C"/>
          <w:sz w:val="36"/>
          <w:szCs w:val="36"/>
          <w:lang w:val="fr-FR"/>
        </w:rPr>
        <w:t xml:space="preserve">Étape 1 : </w:t>
      </w:r>
      <w:r w:rsidR="008A0F2F" w:rsidRPr="005365F9">
        <w:rPr>
          <w:b/>
          <w:color w:val="86789C"/>
          <w:sz w:val="36"/>
          <w:szCs w:val="36"/>
          <w:lang w:val="fr-FR"/>
        </w:rPr>
        <w:t>Évaluation</w:t>
      </w:r>
      <w:r w:rsidR="008A0F2F" w:rsidRPr="008A0F2F">
        <w:rPr>
          <w:b/>
          <w:color w:val="86789C"/>
          <w:sz w:val="36"/>
          <w:szCs w:val="36"/>
          <w:lang w:val="fr-FR"/>
        </w:rPr>
        <w:t xml:space="preserve">, identification et analyse des besoins </w:t>
      </w:r>
    </w:p>
    <w:p w14:paraId="2E0A88FB" w14:textId="10881C2F" w:rsidR="00140437" w:rsidRPr="006618E2" w:rsidRDefault="007A6431" w:rsidP="007A6431">
      <w:pPr>
        <w:spacing w:after="0"/>
        <w:rPr>
          <w:color w:val="86789C"/>
          <w:sz w:val="32"/>
          <w:szCs w:val="32"/>
          <w:lang w:val="fr-FR"/>
        </w:rPr>
      </w:pPr>
      <w:r w:rsidRPr="006618E2">
        <w:rPr>
          <w:bCs/>
          <w:color w:val="86789C"/>
          <w:sz w:val="32"/>
          <w:szCs w:val="32"/>
          <w:lang w:val="fr-FR"/>
        </w:rPr>
        <w:t xml:space="preserve">Annexes </w:t>
      </w:r>
      <w:r w:rsidR="00CC3787" w:rsidRPr="006618E2">
        <w:rPr>
          <w:bCs/>
          <w:color w:val="86789C"/>
          <w:sz w:val="32"/>
          <w:szCs w:val="32"/>
          <w:lang w:val="fr-FR"/>
        </w:rPr>
        <w:t xml:space="preserve">pour </w:t>
      </w:r>
      <w:r w:rsidRPr="006618E2">
        <w:rPr>
          <w:bCs/>
          <w:color w:val="86789C"/>
          <w:sz w:val="32"/>
          <w:szCs w:val="32"/>
          <w:lang w:val="fr-FR"/>
        </w:rPr>
        <w:t xml:space="preserve">faciliter la mise en œuvre des “étapes” de </w:t>
      </w:r>
      <w:r w:rsidR="00CC3787" w:rsidRPr="006618E2">
        <w:rPr>
          <w:bCs/>
          <w:color w:val="86789C"/>
          <w:sz w:val="32"/>
          <w:szCs w:val="32"/>
          <w:lang w:val="fr-FR"/>
        </w:rPr>
        <w:t xml:space="preserve">la </w:t>
      </w:r>
      <w:r w:rsidRPr="006618E2">
        <w:rPr>
          <w:bCs/>
          <w:color w:val="86789C"/>
          <w:sz w:val="32"/>
          <w:szCs w:val="32"/>
          <w:lang w:val="fr-FR"/>
        </w:rPr>
        <w:t>collaboration</w:t>
      </w:r>
      <w:r w:rsidR="008A0F2F" w:rsidRPr="006618E2">
        <w:rPr>
          <w:color w:val="86789C"/>
          <w:sz w:val="32"/>
          <w:szCs w:val="32"/>
          <w:lang w:val="fr-FR"/>
        </w:rPr>
        <w:t xml:space="preserve"> </w:t>
      </w:r>
    </w:p>
    <w:p w14:paraId="73E1CAE8" w14:textId="77777777" w:rsidR="008A0F2F" w:rsidRPr="008A0F2F" w:rsidRDefault="008A0F2F" w:rsidP="008A0F2F">
      <w:pPr>
        <w:spacing w:after="0"/>
        <w:jc w:val="both"/>
        <w:rPr>
          <w:color w:val="86789C"/>
          <w:sz w:val="36"/>
          <w:szCs w:val="36"/>
          <w:lang w:val="fr-FR"/>
        </w:rPr>
      </w:pPr>
    </w:p>
    <w:p w14:paraId="043FF478" w14:textId="729A343B" w:rsidR="000A13FB" w:rsidRPr="00CC3787" w:rsidRDefault="00B95A32" w:rsidP="00FA58EA">
      <w:pPr>
        <w:spacing w:after="0" w:line="240" w:lineRule="auto"/>
        <w:ind w:firstLine="360"/>
        <w:rPr>
          <w:color w:val="86789C"/>
          <w:lang w:val="fr-FR"/>
        </w:rPr>
      </w:pPr>
      <w:hyperlink w:anchor="Annex1" w:history="1">
        <w:r w:rsidR="000A13FB" w:rsidRPr="00CC3787">
          <w:rPr>
            <w:rStyle w:val="Hyperlink"/>
            <w:b/>
            <w:bCs/>
            <w:color w:val="86789C"/>
            <w:lang w:val="fr-FR"/>
          </w:rPr>
          <w:t>Annex</w:t>
        </w:r>
        <w:r w:rsidR="008A0F2F" w:rsidRPr="00CC3787">
          <w:rPr>
            <w:rStyle w:val="Hyperlink"/>
            <w:b/>
            <w:bCs/>
            <w:color w:val="86789C"/>
            <w:lang w:val="fr-FR"/>
          </w:rPr>
          <w:t>e</w:t>
        </w:r>
        <w:r w:rsidR="000A13FB" w:rsidRPr="00CC3787">
          <w:rPr>
            <w:rStyle w:val="Hyperlink"/>
            <w:b/>
            <w:bCs/>
            <w:color w:val="86789C"/>
            <w:lang w:val="fr-FR"/>
          </w:rPr>
          <w:t xml:space="preserve"> 1</w:t>
        </w:r>
      </w:hyperlink>
      <w:r w:rsidR="000A13FB" w:rsidRPr="00CC3787">
        <w:rPr>
          <w:b/>
          <w:bCs/>
          <w:color w:val="86789C"/>
          <w:lang w:val="fr-FR"/>
        </w:rPr>
        <w:tab/>
      </w:r>
      <w:r w:rsidR="008A0F2F" w:rsidRPr="00CC3787">
        <w:rPr>
          <w:b/>
          <w:bCs/>
          <w:color w:val="86789C"/>
          <w:lang w:val="fr-FR"/>
        </w:rPr>
        <w:t xml:space="preserve">Décisions clés pour lesquelles les données sont nécessaires </w:t>
      </w:r>
    </w:p>
    <w:p w14:paraId="7C228D34" w14:textId="2D7BEDAA" w:rsidR="008A0F2F" w:rsidRPr="00CC3787" w:rsidRDefault="00B95A32" w:rsidP="008A0F2F">
      <w:pPr>
        <w:spacing w:after="0" w:line="240" w:lineRule="auto"/>
        <w:ind w:firstLine="360"/>
        <w:rPr>
          <w:b/>
          <w:iCs/>
          <w:color w:val="86789C"/>
          <w:lang w:val="fr-FR"/>
        </w:rPr>
      </w:pPr>
      <w:hyperlink w:anchor="Annex2" w:history="1">
        <w:r w:rsidR="000A13FB" w:rsidRPr="00CC3787">
          <w:rPr>
            <w:rStyle w:val="Hyperlink"/>
            <w:b/>
            <w:iCs/>
            <w:color w:val="86789C"/>
            <w:lang w:val="fr-FR"/>
          </w:rPr>
          <w:t>Annex</w:t>
        </w:r>
        <w:r w:rsidR="008A0F2F" w:rsidRPr="00CC3787">
          <w:rPr>
            <w:rStyle w:val="Hyperlink"/>
            <w:b/>
            <w:iCs/>
            <w:color w:val="86789C"/>
            <w:lang w:val="fr-FR"/>
          </w:rPr>
          <w:t>e</w:t>
        </w:r>
        <w:r w:rsidR="000A13FB" w:rsidRPr="00CC3787">
          <w:rPr>
            <w:rStyle w:val="Hyperlink"/>
            <w:b/>
            <w:iCs/>
            <w:color w:val="86789C"/>
            <w:lang w:val="fr-FR"/>
          </w:rPr>
          <w:t xml:space="preserve"> 2</w:t>
        </w:r>
      </w:hyperlink>
      <w:r w:rsidR="000A13FB" w:rsidRPr="00CC3787">
        <w:rPr>
          <w:b/>
          <w:iCs/>
          <w:color w:val="86789C"/>
          <w:lang w:val="fr-FR"/>
        </w:rPr>
        <w:tab/>
      </w:r>
      <w:r w:rsidR="008A0F2F" w:rsidRPr="00CC3787">
        <w:rPr>
          <w:b/>
          <w:iCs/>
          <w:color w:val="86789C"/>
          <w:lang w:val="fr-FR"/>
        </w:rPr>
        <w:t>Exemples de besoins clés en données</w:t>
      </w:r>
    </w:p>
    <w:p w14:paraId="548FF448" w14:textId="0D1826C9" w:rsidR="008A0F2F" w:rsidRPr="00CC3787" w:rsidRDefault="00B95A32" w:rsidP="008A0F2F">
      <w:pPr>
        <w:spacing w:after="0" w:line="240" w:lineRule="auto"/>
        <w:ind w:left="1418" w:hanging="1058"/>
        <w:rPr>
          <w:b/>
          <w:iCs/>
          <w:color w:val="86789C"/>
          <w:lang w:val="fr-FR"/>
        </w:rPr>
      </w:pPr>
      <w:hyperlink w:anchor="Annex3" w:history="1">
        <w:r w:rsidR="008A0F2F" w:rsidRPr="00CC3787">
          <w:rPr>
            <w:rStyle w:val="Hyperlink"/>
            <w:b/>
            <w:iCs/>
            <w:color w:val="86789C"/>
            <w:lang w:val="fr-FR"/>
          </w:rPr>
          <w:t>Annexe 3</w:t>
        </w:r>
      </w:hyperlink>
      <w:r w:rsidR="008A0F2F" w:rsidRPr="00CC3787">
        <w:rPr>
          <w:b/>
          <w:iCs/>
          <w:color w:val="86789C"/>
          <w:lang w:val="fr-FR"/>
        </w:rPr>
        <w:t xml:space="preserve">    Convenir de la façon de partager systématiquement l’information entre les secteurs – liste de contrôle et exemples de scénarios</w:t>
      </w:r>
    </w:p>
    <w:p w14:paraId="319B59AE" w14:textId="74674885" w:rsidR="008A0F2F" w:rsidRPr="00CC3787" w:rsidRDefault="00B95A32" w:rsidP="008A0F2F">
      <w:pPr>
        <w:spacing w:after="0" w:line="240" w:lineRule="auto"/>
        <w:ind w:firstLine="360"/>
        <w:rPr>
          <w:b/>
          <w:iCs/>
          <w:color w:val="86789C"/>
          <w:lang w:val="fr-FR"/>
        </w:rPr>
      </w:pPr>
      <w:hyperlink w:anchor="Annex4" w:history="1">
        <w:r w:rsidR="008A0F2F" w:rsidRPr="00CC3787">
          <w:rPr>
            <w:rStyle w:val="Hyperlink"/>
            <w:b/>
            <w:iCs/>
            <w:color w:val="86789C"/>
            <w:lang w:val="fr-FR"/>
          </w:rPr>
          <w:t>Annexe 4</w:t>
        </w:r>
      </w:hyperlink>
      <w:r w:rsidR="008A0F2F" w:rsidRPr="00CC3787">
        <w:rPr>
          <w:b/>
          <w:iCs/>
          <w:color w:val="86789C"/>
          <w:lang w:val="fr-FR"/>
        </w:rPr>
        <w:t xml:space="preserve">    Avantages et limitations des évaluations des besoins conjoints et sectoriels</w:t>
      </w:r>
    </w:p>
    <w:p w14:paraId="15C01A00" w14:textId="0BD87C83" w:rsidR="000A13FB" w:rsidRDefault="00B95A32" w:rsidP="0040257C">
      <w:pPr>
        <w:spacing w:after="0" w:line="240" w:lineRule="auto"/>
        <w:ind w:left="1418" w:hanging="1058"/>
        <w:rPr>
          <w:b/>
          <w:iCs/>
          <w:color w:val="86789C"/>
          <w:lang w:val="fr-FR"/>
        </w:rPr>
      </w:pPr>
      <w:hyperlink w:anchor="Annex5" w:history="1">
        <w:r w:rsidR="008A0F2F" w:rsidRPr="00CC3787">
          <w:rPr>
            <w:rStyle w:val="Hyperlink"/>
            <w:b/>
            <w:iCs/>
            <w:color w:val="86789C"/>
            <w:lang w:val="fr-FR"/>
          </w:rPr>
          <w:t>Annexe 5</w:t>
        </w:r>
      </w:hyperlink>
      <w:r w:rsidR="008A0F2F" w:rsidRPr="00CC3787">
        <w:rPr>
          <w:b/>
          <w:iCs/>
          <w:color w:val="86789C"/>
          <w:lang w:val="fr-FR"/>
        </w:rPr>
        <w:t xml:space="preserve">    Collaboration au cours d’évaluations sectorielles uniques – liste de contrôle pour la collaboration et exemple </w:t>
      </w:r>
      <w:r w:rsidR="008A0F2F" w:rsidRPr="008A0F2F">
        <w:rPr>
          <w:b/>
          <w:iCs/>
          <w:color w:val="86789C"/>
          <w:lang w:val="fr-FR"/>
        </w:rPr>
        <w:t>de questions</w:t>
      </w:r>
    </w:p>
    <w:p w14:paraId="0B2D6BC9" w14:textId="77777777" w:rsidR="005365F9" w:rsidRPr="008A0F2F" w:rsidRDefault="005365F9" w:rsidP="0040257C">
      <w:pPr>
        <w:spacing w:after="0" w:line="240" w:lineRule="auto"/>
        <w:ind w:left="1418" w:hanging="1058"/>
        <w:rPr>
          <w:bCs/>
          <w:iCs/>
          <w:color w:val="86789C"/>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0"/>
      </w:tblGrid>
      <w:tr w:rsidR="005365F9" w:rsidRPr="005365F9" w14:paraId="0BBD6CBD" w14:textId="77777777" w:rsidTr="005365F9">
        <w:tc>
          <w:tcPr>
            <w:tcW w:w="10790" w:type="dxa"/>
            <w:shd w:val="clear" w:color="auto" w:fill="86789C"/>
          </w:tcPr>
          <w:p w14:paraId="425681C6" w14:textId="351CD821" w:rsidR="005365F9" w:rsidRPr="005365F9" w:rsidRDefault="005365F9" w:rsidP="005365F9">
            <w:pPr>
              <w:jc w:val="center"/>
              <w:rPr>
                <w:b/>
                <w:bCs/>
                <w:color w:val="FFFFFF" w:themeColor="background1"/>
                <w:lang w:val="fr-FR"/>
              </w:rPr>
            </w:pPr>
            <w:r w:rsidRPr="005365F9">
              <w:rPr>
                <w:b/>
                <w:bCs/>
                <w:color w:val="FFFFFF" w:themeColor="background1"/>
                <w:lang w:val="fr-FR"/>
              </w:rPr>
              <w:t xml:space="preserve">Pour toute contradiction, </w:t>
            </w:r>
            <w:r w:rsidRPr="005365F9">
              <w:rPr>
                <w:b/>
                <w:bCs/>
                <w:color w:val="FFFFFF" w:themeColor="background1"/>
                <w:lang w:val="fr-FR"/>
              </w:rPr>
              <w:t>referez-vous</w:t>
            </w:r>
            <w:r w:rsidRPr="005365F9">
              <w:rPr>
                <w:b/>
                <w:bCs/>
                <w:color w:val="FFFFFF" w:themeColor="background1"/>
                <w:lang w:val="fr-FR"/>
              </w:rPr>
              <w:t xml:space="preserve"> à la </w:t>
            </w:r>
            <w:hyperlink r:id="rId12" w:history="1">
              <w:r w:rsidRPr="005365F9">
                <w:rPr>
                  <w:rStyle w:val="Hyperlink"/>
                  <w:b/>
                  <w:bCs/>
                  <w:lang w:val="fr-FR"/>
                </w:rPr>
                <w:t>version anglaise</w:t>
              </w:r>
            </w:hyperlink>
          </w:p>
        </w:tc>
      </w:tr>
    </w:tbl>
    <w:p w14:paraId="5E425A77" w14:textId="77777777" w:rsidR="005365F9" w:rsidRPr="00874DE4" w:rsidRDefault="005365F9" w:rsidP="00140437">
      <w:pPr>
        <w:spacing w:after="0" w:line="240" w:lineRule="auto"/>
        <w:rPr>
          <w:b/>
          <w:bCs/>
          <w:color w:val="86789C"/>
          <w:lang w:val="fr-FR"/>
        </w:rPr>
      </w:pPr>
    </w:p>
    <w:p w14:paraId="1E764F75" w14:textId="53B8E26B" w:rsidR="00140437" w:rsidRPr="0040257C" w:rsidRDefault="00140437" w:rsidP="00140437">
      <w:pPr>
        <w:spacing w:after="0" w:line="240" w:lineRule="auto"/>
        <w:rPr>
          <w:color w:val="86789C"/>
          <w:lang w:val="fr-FR"/>
        </w:rPr>
      </w:pPr>
      <w:bookmarkStart w:id="0" w:name="Annex1"/>
      <w:r w:rsidRPr="0040257C">
        <w:rPr>
          <w:b/>
          <w:bCs/>
          <w:color w:val="86789C"/>
          <w:lang w:val="fr-FR"/>
        </w:rPr>
        <w:t>Annex</w:t>
      </w:r>
      <w:r w:rsidR="0040257C" w:rsidRPr="0040257C">
        <w:rPr>
          <w:b/>
          <w:bCs/>
          <w:color w:val="86789C"/>
          <w:lang w:val="fr-FR"/>
        </w:rPr>
        <w:t>e</w:t>
      </w:r>
      <w:r w:rsidRPr="0040257C">
        <w:rPr>
          <w:b/>
          <w:bCs/>
          <w:color w:val="86789C"/>
          <w:lang w:val="fr-FR"/>
        </w:rPr>
        <w:t xml:space="preserve"> </w:t>
      </w:r>
      <w:bookmarkEnd w:id="0"/>
      <w:r w:rsidR="0040257C" w:rsidRPr="0040257C">
        <w:rPr>
          <w:b/>
          <w:bCs/>
          <w:color w:val="86789C"/>
          <w:lang w:val="fr-FR"/>
        </w:rPr>
        <w:t xml:space="preserve">1 :  </w:t>
      </w:r>
      <w:r w:rsidR="0040257C" w:rsidRPr="008A0F2F">
        <w:rPr>
          <w:b/>
          <w:bCs/>
          <w:color w:val="86789C"/>
          <w:lang w:val="fr-FR"/>
        </w:rPr>
        <w:t xml:space="preserve">Décisions clés pour lesquelles les données sont </w:t>
      </w:r>
      <w:r w:rsidR="00874DE4" w:rsidRPr="008A0F2F">
        <w:rPr>
          <w:b/>
          <w:bCs/>
          <w:color w:val="86789C"/>
          <w:lang w:val="fr-FR"/>
        </w:rPr>
        <w:t>nécessaires</w:t>
      </w:r>
      <w:r w:rsidR="00874DE4" w:rsidRPr="0040257C">
        <w:rPr>
          <w:b/>
          <w:bCs/>
          <w:color w:val="86789C"/>
          <w:lang w:val="fr-FR"/>
        </w:rPr>
        <w:t xml:space="preserve"> :</w:t>
      </w:r>
    </w:p>
    <w:p w14:paraId="6E405C05" w14:textId="2CF37F0C" w:rsidR="0040257C" w:rsidRPr="00214456" w:rsidRDefault="0040257C" w:rsidP="0040257C">
      <w:pPr>
        <w:pStyle w:val="ListParagraph"/>
        <w:numPr>
          <w:ilvl w:val="0"/>
          <w:numId w:val="11"/>
        </w:numPr>
        <w:spacing w:after="0" w:line="240" w:lineRule="auto"/>
        <w:rPr>
          <w:lang w:val="fr-FR"/>
        </w:rPr>
      </w:pPr>
      <w:r w:rsidRPr="0040257C">
        <w:rPr>
          <w:b/>
          <w:lang w:val="fr-FR"/>
        </w:rPr>
        <w:t xml:space="preserve"> Intervention et décisions opérationnelles : </w:t>
      </w:r>
      <w:r w:rsidRPr="00214456">
        <w:rPr>
          <w:lang w:val="fr-FR"/>
        </w:rPr>
        <w:t>établir des domaines d’intervention prioritaires, y compris</w:t>
      </w:r>
    </w:p>
    <w:p w14:paraId="36172547" w14:textId="7492E24A" w:rsidR="0040257C" w:rsidRPr="0039706A" w:rsidRDefault="0040257C" w:rsidP="0039706A">
      <w:pPr>
        <w:pStyle w:val="ListParagraph"/>
        <w:numPr>
          <w:ilvl w:val="0"/>
          <w:numId w:val="20"/>
        </w:numPr>
        <w:spacing w:after="0" w:line="240" w:lineRule="auto"/>
        <w:rPr>
          <w:lang w:val="fr-FR"/>
        </w:rPr>
      </w:pPr>
      <w:proofErr w:type="gramStart"/>
      <w:r w:rsidRPr="0039706A">
        <w:rPr>
          <w:lang w:val="fr-FR"/>
        </w:rPr>
        <w:t>objectifs</w:t>
      </w:r>
      <w:proofErr w:type="gramEnd"/>
      <w:r w:rsidRPr="0039706A">
        <w:rPr>
          <w:lang w:val="fr-FR"/>
        </w:rPr>
        <w:t xml:space="preserve"> de l’intervention / résultats prévus de l’intervention </w:t>
      </w:r>
    </w:p>
    <w:p w14:paraId="30FDD934" w14:textId="185F67F2" w:rsidR="0040257C" w:rsidRPr="00214456" w:rsidRDefault="0040257C" w:rsidP="0039706A">
      <w:pPr>
        <w:pStyle w:val="ListParagraph"/>
        <w:numPr>
          <w:ilvl w:val="0"/>
          <w:numId w:val="20"/>
        </w:numPr>
        <w:spacing w:after="0" w:line="240" w:lineRule="auto"/>
        <w:rPr>
          <w:lang w:val="fr-FR"/>
        </w:rPr>
      </w:pPr>
      <w:proofErr w:type="gramStart"/>
      <w:r w:rsidRPr="00214456">
        <w:rPr>
          <w:lang w:val="fr-FR"/>
        </w:rPr>
        <w:t>portée</w:t>
      </w:r>
      <w:proofErr w:type="gramEnd"/>
      <w:r w:rsidRPr="00214456">
        <w:rPr>
          <w:lang w:val="fr-FR"/>
        </w:rPr>
        <w:t xml:space="preserve"> géographique</w:t>
      </w:r>
    </w:p>
    <w:p w14:paraId="15827383" w14:textId="2ED541B9" w:rsidR="0040257C" w:rsidRPr="00214456" w:rsidRDefault="0040257C" w:rsidP="0039706A">
      <w:pPr>
        <w:pStyle w:val="ListParagraph"/>
        <w:numPr>
          <w:ilvl w:val="0"/>
          <w:numId w:val="20"/>
        </w:numPr>
        <w:spacing w:after="0" w:line="240" w:lineRule="auto"/>
        <w:rPr>
          <w:lang w:val="fr-FR"/>
        </w:rPr>
      </w:pPr>
      <w:proofErr w:type="gramStart"/>
      <w:r w:rsidRPr="00214456">
        <w:rPr>
          <w:lang w:val="fr-FR"/>
        </w:rPr>
        <w:t>priorité</w:t>
      </w:r>
      <w:proofErr w:type="gramEnd"/>
      <w:r w:rsidRPr="00214456">
        <w:rPr>
          <w:lang w:val="fr-FR"/>
        </w:rPr>
        <w:t xml:space="preserve"> des enfants (âge, sexe, type de vulnérabilité)</w:t>
      </w:r>
    </w:p>
    <w:p w14:paraId="48963757" w14:textId="2F650393" w:rsidR="0040257C" w:rsidRPr="00214456" w:rsidRDefault="0040257C" w:rsidP="0039706A">
      <w:pPr>
        <w:pStyle w:val="ListParagraph"/>
        <w:numPr>
          <w:ilvl w:val="0"/>
          <w:numId w:val="20"/>
        </w:numPr>
        <w:spacing w:after="0" w:line="240" w:lineRule="auto"/>
        <w:rPr>
          <w:lang w:val="fr-FR"/>
        </w:rPr>
      </w:pPr>
      <w:proofErr w:type="gramStart"/>
      <w:r w:rsidRPr="00214456">
        <w:rPr>
          <w:lang w:val="fr-FR"/>
        </w:rPr>
        <w:t>nombre</w:t>
      </w:r>
      <w:proofErr w:type="gramEnd"/>
      <w:r w:rsidRPr="00214456">
        <w:rPr>
          <w:lang w:val="fr-FR"/>
        </w:rPr>
        <w:t xml:space="preserve"> de personnes qui seront soutenues par l’intervention</w:t>
      </w:r>
    </w:p>
    <w:p w14:paraId="45D5DAC6" w14:textId="2794D7E4" w:rsidR="0040257C" w:rsidRPr="00214456" w:rsidRDefault="0040257C" w:rsidP="0039706A">
      <w:pPr>
        <w:pStyle w:val="ListParagraph"/>
        <w:numPr>
          <w:ilvl w:val="0"/>
          <w:numId w:val="20"/>
        </w:numPr>
        <w:spacing w:after="0" w:line="240" w:lineRule="auto"/>
        <w:rPr>
          <w:lang w:val="fr-FR"/>
        </w:rPr>
      </w:pPr>
      <w:proofErr w:type="gramStart"/>
      <w:r w:rsidRPr="00214456">
        <w:rPr>
          <w:lang w:val="fr-FR"/>
        </w:rPr>
        <w:t>activités</w:t>
      </w:r>
      <w:proofErr w:type="gramEnd"/>
      <w:r w:rsidRPr="00214456">
        <w:rPr>
          <w:lang w:val="fr-FR"/>
        </w:rPr>
        <w:t xml:space="preserve"> d’intervention prioritaires pour chaque secteur</w:t>
      </w:r>
    </w:p>
    <w:p w14:paraId="3836B36C" w14:textId="53540CD9" w:rsidR="0040257C" w:rsidRPr="00214456" w:rsidRDefault="0040257C" w:rsidP="0039706A">
      <w:pPr>
        <w:pStyle w:val="ListParagraph"/>
        <w:numPr>
          <w:ilvl w:val="0"/>
          <w:numId w:val="20"/>
        </w:numPr>
        <w:spacing w:after="0" w:line="240" w:lineRule="auto"/>
        <w:rPr>
          <w:lang w:val="fr-FR"/>
        </w:rPr>
      </w:pPr>
      <w:proofErr w:type="gramStart"/>
      <w:r w:rsidRPr="00214456">
        <w:rPr>
          <w:lang w:val="fr-FR"/>
        </w:rPr>
        <w:t>modalités</w:t>
      </w:r>
      <w:proofErr w:type="gramEnd"/>
      <w:r w:rsidRPr="00214456">
        <w:rPr>
          <w:lang w:val="fr-FR"/>
        </w:rPr>
        <w:t xml:space="preserve"> de programme (p. ex. direct, distant ou en partenariat avec les acteurs existants)</w:t>
      </w:r>
    </w:p>
    <w:p w14:paraId="258E19BE" w14:textId="24412C3A" w:rsidR="0040257C" w:rsidRPr="00214456" w:rsidRDefault="0040257C" w:rsidP="0039706A">
      <w:pPr>
        <w:pStyle w:val="ListParagraph"/>
        <w:numPr>
          <w:ilvl w:val="0"/>
          <w:numId w:val="20"/>
        </w:numPr>
        <w:spacing w:after="0" w:line="240" w:lineRule="auto"/>
        <w:rPr>
          <w:lang w:val="fr-FR"/>
        </w:rPr>
      </w:pPr>
      <w:proofErr w:type="gramStart"/>
      <w:r w:rsidRPr="00214456">
        <w:rPr>
          <w:lang w:val="fr-FR"/>
        </w:rPr>
        <w:t>acteurs</w:t>
      </w:r>
      <w:proofErr w:type="gramEnd"/>
      <w:r w:rsidRPr="00214456">
        <w:rPr>
          <w:lang w:val="fr-FR"/>
        </w:rPr>
        <w:t xml:space="preserve"> qui répondront</w:t>
      </w:r>
    </w:p>
    <w:p w14:paraId="577E49E4" w14:textId="0B773DB8" w:rsidR="0040257C" w:rsidRPr="00214456" w:rsidRDefault="0040257C" w:rsidP="0039706A">
      <w:pPr>
        <w:pStyle w:val="ListParagraph"/>
        <w:numPr>
          <w:ilvl w:val="0"/>
          <w:numId w:val="20"/>
        </w:numPr>
        <w:spacing w:after="0" w:line="240" w:lineRule="auto"/>
        <w:rPr>
          <w:lang w:val="fr-FR"/>
        </w:rPr>
      </w:pPr>
      <w:proofErr w:type="gramStart"/>
      <w:r w:rsidRPr="00214456">
        <w:rPr>
          <w:lang w:val="fr-FR"/>
        </w:rPr>
        <w:t>ressources</w:t>
      </w:r>
      <w:proofErr w:type="gramEnd"/>
      <w:r w:rsidRPr="00214456">
        <w:rPr>
          <w:lang w:val="fr-FR"/>
        </w:rPr>
        <w:t xml:space="preserve"> financières, temporelles et h</w:t>
      </w:r>
      <w:r w:rsidR="006272CA" w:rsidRPr="00214456">
        <w:rPr>
          <w:lang w:val="fr-FR"/>
        </w:rPr>
        <w:t>umaines requises pour l’intervention</w:t>
      </w:r>
    </w:p>
    <w:p w14:paraId="22E58EB0" w14:textId="7F5BE7BC" w:rsidR="0040257C" w:rsidRPr="00214456" w:rsidRDefault="006272CA" w:rsidP="0039706A">
      <w:pPr>
        <w:pStyle w:val="ListParagraph"/>
        <w:numPr>
          <w:ilvl w:val="0"/>
          <w:numId w:val="20"/>
        </w:numPr>
        <w:spacing w:after="0" w:line="240" w:lineRule="auto"/>
        <w:rPr>
          <w:lang w:val="fr-FR"/>
        </w:rPr>
      </w:pPr>
      <w:proofErr w:type="gramStart"/>
      <w:r w:rsidRPr="00214456">
        <w:rPr>
          <w:lang w:val="fr-FR"/>
        </w:rPr>
        <w:t>adapter</w:t>
      </w:r>
      <w:proofErr w:type="gramEnd"/>
      <w:r w:rsidRPr="00214456">
        <w:rPr>
          <w:lang w:val="fr-FR"/>
        </w:rPr>
        <w:t xml:space="preserve"> l’intervention</w:t>
      </w:r>
      <w:r w:rsidR="0040257C" w:rsidRPr="00214456">
        <w:rPr>
          <w:lang w:val="fr-FR"/>
        </w:rPr>
        <w:t xml:space="preserve"> sur la base de nouvelles don</w:t>
      </w:r>
      <w:r w:rsidRPr="00214456">
        <w:rPr>
          <w:lang w:val="fr-FR"/>
        </w:rPr>
        <w:t>nées probantes, à travers l’HPC</w:t>
      </w:r>
    </w:p>
    <w:p w14:paraId="5B9FCE20" w14:textId="43E68290" w:rsidR="0040257C" w:rsidRPr="00214456" w:rsidRDefault="0040257C" w:rsidP="0039706A">
      <w:pPr>
        <w:pStyle w:val="ListParagraph"/>
        <w:numPr>
          <w:ilvl w:val="0"/>
          <w:numId w:val="20"/>
        </w:numPr>
        <w:spacing w:after="0" w:line="240" w:lineRule="auto"/>
        <w:rPr>
          <w:lang w:val="fr-FR"/>
        </w:rPr>
      </w:pPr>
      <w:proofErr w:type="gramStart"/>
      <w:r w:rsidRPr="00214456">
        <w:rPr>
          <w:lang w:val="fr-FR"/>
        </w:rPr>
        <w:t>stratégie</w:t>
      </w:r>
      <w:proofErr w:type="gramEnd"/>
      <w:r w:rsidRPr="00214456">
        <w:rPr>
          <w:lang w:val="fr-FR"/>
        </w:rPr>
        <w:t xml:space="preserve"> de sortie / planification</w:t>
      </w:r>
    </w:p>
    <w:p w14:paraId="1CB399D0" w14:textId="2173199B" w:rsidR="0040257C" w:rsidRPr="0039706A" w:rsidRDefault="0040257C" w:rsidP="0039706A">
      <w:pPr>
        <w:pStyle w:val="ListParagraph"/>
        <w:numPr>
          <w:ilvl w:val="0"/>
          <w:numId w:val="11"/>
        </w:numPr>
        <w:spacing w:after="0" w:line="240" w:lineRule="auto"/>
        <w:rPr>
          <w:lang w:val="fr-FR"/>
        </w:rPr>
      </w:pPr>
      <w:r w:rsidRPr="0039706A">
        <w:rPr>
          <w:lang w:val="fr-FR"/>
        </w:rPr>
        <w:t>Demande de sources de financement spécifiques (OFDA, ECHO, DFID, donateurs privés, etc.)</w:t>
      </w:r>
    </w:p>
    <w:p w14:paraId="27AB40F9" w14:textId="32AF5779" w:rsidR="000B6DBE" w:rsidRPr="00944749" w:rsidRDefault="00214456" w:rsidP="00214456">
      <w:pPr>
        <w:pStyle w:val="ListParagraph"/>
        <w:numPr>
          <w:ilvl w:val="0"/>
          <w:numId w:val="11"/>
        </w:numPr>
        <w:spacing w:after="0" w:line="240" w:lineRule="auto"/>
        <w:rPr>
          <w:lang w:val="fr-FR"/>
        </w:rPr>
      </w:pPr>
      <w:r w:rsidRPr="00CC3787">
        <w:rPr>
          <w:b/>
          <w:bCs/>
          <w:lang w:val="fr-FR"/>
        </w:rPr>
        <w:t>Décisions de plaidoyer</w:t>
      </w:r>
      <w:r w:rsidR="0040257C" w:rsidRPr="00214456">
        <w:rPr>
          <w:lang w:val="fr-FR"/>
        </w:rPr>
        <w:t xml:space="preserve"> : données démographiques prioritaires (p. ex. déplacés</w:t>
      </w:r>
      <w:r w:rsidR="0040257C" w:rsidRPr="0040257C">
        <w:rPr>
          <w:b/>
          <w:lang w:val="fr-FR"/>
        </w:rPr>
        <w:t xml:space="preserve"> </w:t>
      </w:r>
      <w:r w:rsidRPr="00214456">
        <w:rPr>
          <w:lang w:val="fr-FR"/>
        </w:rPr>
        <w:t>internes, réfugiés</w:t>
      </w:r>
      <w:r w:rsidR="0040257C" w:rsidRPr="00214456">
        <w:rPr>
          <w:lang w:val="fr-FR"/>
        </w:rPr>
        <w:t>/communautés d’accueil</w:t>
      </w:r>
    </w:p>
    <w:p w14:paraId="3F8CE972" w14:textId="77777777" w:rsidR="00214456" w:rsidRPr="00944749" w:rsidRDefault="00214456" w:rsidP="00214456">
      <w:pPr>
        <w:pStyle w:val="ListParagraph"/>
        <w:spacing w:after="0" w:line="240" w:lineRule="auto"/>
        <w:rPr>
          <w:lang w:val="fr-FR"/>
        </w:rPr>
      </w:pPr>
    </w:p>
    <w:p w14:paraId="5FC723EF" w14:textId="0ADEE4F3" w:rsidR="00140437" w:rsidRDefault="00140437" w:rsidP="00140437">
      <w:pPr>
        <w:spacing w:after="0" w:line="240" w:lineRule="auto"/>
        <w:rPr>
          <w:b/>
          <w:iCs/>
          <w:color w:val="86789C"/>
          <w:lang w:val="fr-FR"/>
        </w:rPr>
      </w:pPr>
      <w:bookmarkStart w:id="1" w:name="Annex2"/>
      <w:r w:rsidRPr="00944749">
        <w:rPr>
          <w:b/>
          <w:iCs/>
          <w:color w:val="86789C"/>
          <w:lang w:val="fr-FR"/>
        </w:rPr>
        <w:t>Annex</w:t>
      </w:r>
      <w:r w:rsidR="00832D90">
        <w:rPr>
          <w:b/>
          <w:iCs/>
          <w:color w:val="86789C"/>
          <w:lang w:val="fr-FR"/>
        </w:rPr>
        <w:t>e</w:t>
      </w:r>
      <w:r w:rsidRPr="00944749">
        <w:rPr>
          <w:b/>
          <w:iCs/>
          <w:color w:val="86789C"/>
          <w:lang w:val="fr-FR"/>
        </w:rPr>
        <w:t xml:space="preserve"> </w:t>
      </w:r>
      <w:proofErr w:type="gramStart"/>
      <w:r w:rsidRPr="00944749">
        <w:rPr>
          <w:b/>
          <w:iCs/>
          <w:color w:val="86789C"/>
          <w:lang w:val="fr-FR"/>
        </w:rPr>
        <w:t>2</w:t>
      </w:r>
      <w:bookmarkEnd w:id="1"/>
      <w:r w:rsidRPr="00944749">
        <w:rPr>
          <w:b/>
          <w:iCs/>
          <w:color w:val="86789C"/>
          <w:lang w:val="fr-FR"/>
        </w:rPr>
        <w:t>:</w:t>
      </w:r>
      <w:proofErr w:type="gramEnd"/>
      <w:r w:rsidR="00944749" w:rsidRPr="00944749">
        <w:rPr>
          <w:b/>
          <w:iCs/>
          <w:color w:val="86789C"/>
          <w:lang w:val="fr-FR"/>
        </w:rPr>
        <w:t xml:space="preserve">   </w:t>
      </w:r>
      <w:r w:rsidR="00944749" w:rsidRPr="008A0F2F">
        <w:rPr>
          <w:b/>
          <w:iCs/>
          <w:color w:val="86789C"/>
          <w:lang w:val="fr-FR"/>
        </w:rPr>
        <w:t>Exemples de besoins clés en données</w:t>
      </w:r>
    </w:p>
    <w:p w14:paraId="2401E9BD" w14:textId="77777777" w:rsidR="005365F9" w:rsidRPr="00944749" w:rsidRDefault="005365F9" w:rsidP="00140437">
      <w:pPr>
        <w:spacing w:after="0" w:line="240" w:lineRule="auto"/>
        <w:rPr>
          <w:b/>
          <w:iCs/>
          <w:color w:val="86789C"/>
          <w:lang w:val="fr-FR"/>
        </w:rPr>
      </w:pPr>
    </w:p>
    <w:tbl>
      <w:tblPr>
        <w:tblStyle w:val="LightList-Accent5"/>
        <w:tblW w:w="0" w:type="auto"/>
        <w:tblBorders>
          <w:top w:val="single" w:sz="8" w:space="0" w:color="86789C"/>
          <w:left w:val="single" w:sz="8" w:space="0" w:color="86789C"/>
          <w:bottom w:val="single" w:sz="8" w:space="0" w:color="86789C"/>
          <w:right w:val="single" w:sz="8" w:space="0" w:color="86789C"/>
          <w:insideH w:val="single" w:sz="8" w:space="0" w:color="86789C"/>
          <w:insideV w:val="single" w:sz="8" w:space="0" w:color="86789C"/>
        </w:tblBorders>
        <w:tblLook w:val="04A0" w:firstRow="1" w:lastRow="0" w:firstColumn="1" w:lastColumn="0" w:noHBand="0" w:noVBand="1"/>
      </w:tblPr>
      <w:tblGrid>
        <w:gridCol w:w="3586"/>
        <w:gridCol w:w="3586"/>
        <w:gridCol w:w="3586"/>
      </w:tblGrid>
      <w:tr w:rsidR="00140437" w:rsidRPr="00FA58EA" w14:paraId="20E0F14E" w14:textId="77777777" w:rsidTr="00BB34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shd w:val="clear" w:color="auto" w:fill="86789C"/>
            <w:vAlign w:val="bottom"/>
            <w:hideMark/>
          </w:tcPr>
          <w:p w14:paraId="75BA7870" w14:textId="5107C1AE" w:rsidR="00140437" w:rsidRPr="00832D90" w:rsidRDefault="000D2BE2" w:rsidP="005435C0">
            <w:pPr>
              <w:jc w:val="center"/>
              <w:rPr>
                <w:b w:val="0"/>
                <w:lang w:val="fr-FR"/>
              </w:rPr>
            </w:pPr>
            <w:r>
              <w:rPr>
                <w:lang w:val="fr-FR"/>
              </w:rPr>
              <w:t xml:space="preserve">Besoin des données sur l’Education </w:t>
            </w:r>
          </w:p>
        </w:tc>
        <w:tc>
          <w:tcPr>
            <w:tcW w:w="3586" w:type="dxa"/>
            <w:shd w:val="clear" w:color="auto" w:fill="86789C"/>
            <w:vAlign w:val="bottom"/>
            <w:hideMark/>
          </w:tcPr>
          <w:p w14:paraId="0DAB611E" w14:textId="466649BB" w:rsidR="00140437" w:rsidRPr="00FA58EA" w:rsidRDefault="001600CF" w:rsidP="005435C0">
            <w:pPr>
              <w:jc w:val="center"/>
              <w:cnfStyle w:val="100000000000" w:firstRow="1" w:lastRow="0" w:firstColumn="0" w:lastColumn="0" w:oddVBand="0" w:evenVBand="0" w:oddHBand="0" w:evenHBand="0" w:firstRowFirstColumn="0" w:firstRowLastColumn="0" w:lastRowFirstColumn="0" w:lastRowLastColumn="0"/>
              <w:rPr>
                <w:b w:val="0"/>
                <w:lang w:val="en-GB"/>
              </w:rPr>
            </w:pPr>
            <w:r>
              <w:rPr>
                <w:lang w:val="en-GB"/>
              </w:rPr>
              <w:t xml:space="preserve">Besoin </w:t>
            </w:r>
            <w:r w:rsidR="000D2BE2">
              <w:rPr>
                <w:lang w:val="en-GB"/>
              </w:rPr>
              <w:t xml:space="preserve"> des données</w:t>
            </w:r>
            <w:r>
              <w:rPr>
                <w:lang w:val="en-GB"/>
              </w:rPr>
              <w:t xml:space="preserve"> communes</w:t>
            </w:r>
          </w:p>
        </w:tc>
        <w:tc>
          <w:tcPr>
            <w:tcW w:w="3586" w:type="dxa"/>
            <w:shd w:val="clear" w:color="auto" w:fill="86789C"/>
            <w:vAlign w:val="bottom"/>
            <w:hideMark/>
          </w:tcPr>
          <w:p w14:paraId="02B97C44" w14:textId="46B5FFE2" w:rsidR="00140437" w:rsidRPr="00FA58EA" w:rsidRDefault="000D2BE2" w:rsidP="005435C0">
            <w:pPr>
              <w:jc w:val="center"/>
              <w:cnfStyle w:val="100000000000" w:firstRow="1" w:lastRow="0" w:firstColumn="0" w:lastColumn="0" w:oddVBand="0" w:evenVBand="0" w:oddHBand="0" w:evenHBand="0" w:firstRowFirstColumn="0" w:firstRowLastColumn="0" w:lastRowFirstColumn="0" w:lastRowLastColumn="0"/>
              <w:rPr>
                <w:b w:val="0"/>
                <w:lang w:val="en-GB"/>
              </w:rPr>
            </w:pPr>
            <w:proofErr w:type="spellStart"/>
            <w:r>
              <w:rPr>
                <w:lang w:val="en-GB"/>
              </w:rPr>
              <w:t>Besoin</w:t>
            </w:r>
            <w:proofErr w:type="spellEnd"/>
            <w:r>
              <w:rPr>
                <w:lang w:val="en-GB"/>
              </w:rPr>
              <w:t xml:space="preserve"> de </w:t>
            </w:r>
            <w:proofErr w:type="spellStart"/>
            <w:r>
              <w:rPr>
                <w:lang w:val="en-GB"/>
              </w:rPr>
              <w:t>données</w:t>
            </w:r>
            <w:proofErr w:type="spellEnd"/>
            <w:r>
              <w:rPr>
                <w:lang w:val="en-GB"/>
              </w:rPr>
              <w:t xml:space="preserve"> P</w:t>
            </w:r>
            <w:r w:rsidR="00385B9E">
              <w:rPr>
                <w:lang w:val="en-GB"/>
              </w:rPr>
              <w:t>E</w:t>
            </w:r>
            <w:r>
              <w:rPr>
                <w:lang w:val="en-GB"/>
              </w:rPr>
              <w:t xml:space="preserve"> </w:t>
            </w:r>
          </w:p>
        </w:tc>
      </w:tr>
      <w:tr w:rsidR="00140437" w:rsidRPr="005365F9" w14:paraId="073B6118" w14:textId="77777777" w:rsidTr="00BB3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Borders>
              <w:top w:val="none" w:sz="0" w:space="0" w:color="auto"/>
              <w:left w:val="none" w:sz="0" w:space="0" w:color="auto"/>
              <w:bottom w:val="none" w:sz="0" w:space="0" w:color="auto"/>
            </w:tcBorders>
            <w:vAlign w:val="center"/>
          </w:tcPr>
          <w:p w14:paraId="70960471" w14:textId="77777777" w:rsidR="00140437" w:rsidRPr="00FA58EA" w:rsidRDefault="00140437" w:rsidP="0039706A">
            <w:pPr>
              <w:rPr>
                <w:b w:val="0"/>
                <w:sz w:val="20"/>
                <w:szCs w:val="20"/>
                <w:lang w:val="en-GB"/>
              </w:rPr>
            </w:pPr>
          </w:p>
        </w:tc>
        <w:tc>
          <w:tcPr>
            <w:tcW w:w="3586" w:type="dxa"/>
            <w:tcBorders>
              <w:top w:val="none" w:sz="0" w:space="0" w:color="auto"/>
              <w:bottom w:val="none" w:sz="0" w:space="0" w:color="auto"/>
            </w:tcBorders>
            <w:vAlign w:val="center"/>
            <w:hideMark/>
          </w:tcPr>
          <w:p w14:paraId="4635625B" w14:textId="0A5ECA5A" w:rsidR="00140437" w:rsidRPr="000D2BE2" w:rsidRDefault="000D2BE2"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0D2BE2">
              <w:rPr>
                <w:sz w:val="20"/>
                <w:szCs w:val="20"/>
                <w:lang w:val="fr-FR"/>
              </w:rPr>
              <w:t xml:space="preserve">Données démographiques – population totale par catégories d’âge (convenues)  </w:t>
            </w:r>
          </w:p>
        </w:tc>
        <w:tc>
          <w:tcPr>
            <w:tcW w:w="3586" w:type="dxa"/>
            <w:tcBorders>
              <w:top w:val="none" w:sz="0" w:space="0" w:color="auto"/>
              <w:bottom w:val="none" w:sz="0" w:space="0" w:color="auto"/>
              <w:right w:val="none" w:sz="0" w:space="0" w:color="auto"/>
            </w:tcBorders>
            <w:vAlign w:val="center"/>
          </w:tcPr>
          <w:p w14:paraId="090B07EA" w14:textId="77777777" w:rsidR="00140437" w:rsidRPr="000D2BE2" w:rsidRDefault="00140437"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p>
        </w:tc>
      </w:tr>
      <w:tr w:rsidR="00140437" w:rsidRPr="005365F9" w14:paraId="47E0CAA5" w14:textId="77777777" w:rsidTr="00BB34F7">
        <w:tc>
          <w:tcPr>
            <w:cnfStyle w:val="001000000000" w:firstRow="0" w:lastRow="0" w:firstColumn="1" w:lastColumn="0" w:oddVBand="0" w:evenVBand="0" w:oddHBand="0" w:evenHBand="0" w:firstRowFirstColumn="0" w:firstRowLastColumn="0" w:lastRowFirstColumn="0" w:lastRowLastColumn="0"/>
            <w:tcW w:w="3586" w:type="dxa"/>
            <w:vAlign w:val="center"/>
          </w:tcPr>
          <w:p w14:paraId="0C089B55" w14:textId="77777777" w:rsidR="00140437" w:rsidRPr="000D2BE2" w:rsidRDefault="00140437" w:rsidP="0039706A">
            <w:pPr>
              <w:rPr>
                <w:b w:val="0"/>
                <w:sz w:val="20"/>
                <w:szCs w:val="20"/>
                <w:lang w:val="fr-FR"/>
              </w:rPr>
            </w:pPr>
          </w:p>
        </w:tc>
        <w:tc>
          <w:tcPr>
            <w:tcW w:w="3586" w:type="dxa"/>
            <w:vAlign w:val="center"/>
            <w:hideMark/>
          </w:tcPr>
          <w:p w14:paraId="413BB58A" w14:textId="6EC42AC5" w:rsidR="00140437" w:rsidRPr="000D2BE2" w:rsidRDefault="000D2BE2"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0D2BE2">
              <w:rPr>
                <w:sz w:val="20"/>
                <w:szCs w:val="20"/>
                <w:lang w:val="fr-FR"/>
              </w:rPr>
              <w:t xml:space="preserve">Données sur les déplacements – PDI, Réfugiés par âge </w:t>
            </w:r>
          </w:p>
        </w:tc>
        <w:tc>
          <w:tcPr>
            <w:tcW w:w="3586" w:type="dxa"/>
            <w:vAlign w:val="center"/>
          </w:tcPr>
          <w:p w14:paraId="2AB048AC" w14:textId="77777777" w:rsidR="00140437" w:rsidRPr="000D2BE2" w:rsidRDefault="00140437"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p>
        </w:tc>
      </w:tr>
      <w:tr w:rsidR="00140437" w:rsidRPr="00FA58EA" w14:paraId="08CB53E7" w14:textId="77777777" w:rsidTr="00BB3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Borders>
              <w:top w:val="none" w:sz="0" w:space="0" w:color="auto"/>
              <w:left w:val="none" w:sz="0" w:space="0" w:color="auto"/>
              <w:bottom w:val="none" w:sz="0" w:space="0" w:color="auto"/>
            </w:tcBorders>
            <w:vAlign w:val="center"/>
            <w:hideMark/>
          </w:tcPr>
          <w:p w14:paraId="15CB05D1" w14:textId="7FEE4C1B" w:rsidR="00140437" w:rsidRPr="000D2BE2" w:rsidRDefault="000D2BE2" w:rsidP="0039706A">
            <w:pPr>
              <w:rPr>
                <w:b w:val="0"/>
                <w:sz w:val="20"/>
                <w:szCs w:val="20"/>
                <w:lang w:val="fr-FR"/>
              </w:rPr>
            </w:pPr>
            <w:r w:rsidRPr="000D2BE2">
              <w:rPr>
                <w:b w:val="0"/>
                <w:sz w:val="20"/>
                <w:szCs w:val="20"/>
                <w:lang w:val="fr-FR"/>
              </w:rPr>
              <w:t>Taux d’inscription et de fréquentation (enfants à l’école et ho</w:t>
            </w:r>
            <w:r w:rsidR="00FC4CD9">
              <w:rPr>
                <w:b w:val="0"/>
                <w:sz w:val="20"/>
                <w:szCs w:val="20"/>
                <w:lang w:val="fr-FR"/>
              </w:rPr>
              <w:t xml:space="preserve">rs de l’école) </w:t>
            </w:r>
          </w:p>
        </w:tc>
        <w:tc>
          <w:tcPr>
            <w:tcW w:w="3586" w:type="dxa"/>
            <w:tcBorders>
              <w:top w:val="none" w:sz="0" w:space="0" w:color="auto"/>
              <w:bottom w:val="none" w:sz="0" w:space="0" w:color="auto"/>
            </w:tcBorders>
            <w:vAlign w:val="center"/>
            <w:hideMark/>
          </w:tcPr>
          <w:p w14:paraId="28AAEFA7" w14:textId="3338235C" w:rsidR="00140437" w:rsidRPr="00FA58EA" w:rsidRDefault="00FC4CD9" w:rsidP="0039706A">
            <w:pPr>
              <w:cnfStyle w:val="000000100000" w:firstRow="0" w:lastRow="0" w:firstColumn="0" w:lastColumn="0" w:oddVBand="0" w:evenVBand="0" w:oddHBand="1" w:evenHBand="0" w:firstRowFirstColumn="0" w:firstRowLastColumn="0" w:lastRowFirstColumn="0" w:lastRowLastColumn="0"/>
              <w:rPr>
                <w:sz w:val="20"/>
                <w:szCs w:val="20"/>
                <w:lang w:val="en-GB"/>
              </w:rPr>
            </w:pPr>
            <w:r>
              <w:rPr>
                <w:sz w:val="20"/>
                <w:szCs w:val="20"/>
                <w:lang w:val="en-GB"/>
              </w:rPr>
              <w:t>Enfant</w:t>
            </w:r>
            <w:r w:rsidR="000D2BE2">
              <w:rPr>
                <w:sz w:val="20"/>
                <w:szCs w:val="20"/>
                <w:lang w:val="en-GB"/>
              </w:rPr>
              <w:t xml:space="preserve"> risqu</w:t>
            </w:r>
            <w:r>
              <w:rPr>
                <w:sz w:val="20"/>
                <w:szCs w:val="20"/>
                <w:lang w:val="en-GB"/>
              </w:rPr>
              <w:t xml:space="preserve">ant </w:t>
            </w:r>
            <w:r w:rsidR="000D2BE2">
              <w:rPr>
                <w:sz w:val="20"/>
                <w:szCs w:val="20"/>
                <w:lang w:val="en-GB"/>
              </w:rPr>
              <w:t>d’abandon</w:t>
            </w:r>
            <w:r>
              <w:rPr>
                <w:sz w:val="20"/>
                <w:szCs w:val="20"/>
                <w:lang w:val="en-GB"/>
              </w:rPr>
              <w:t>ner l’école</w:t>
            </w:r>
          </w:p>
        </w:tc>
        <w:tc>
          <w:tcPr>
            <w:tcW w:w="3586" w:type="dxa"/>
            <w:tcBorders>
              <w:top w:val="none" w:sz="0" w:space="0" w:color="auto"/>
              <w:bottom w:val="none" w:sz="0" w:space="0" w:color="auto"/>
              <w:right w:val="none" w:sz="0" w:space="0" w:color="auto"/>
            </w:tcBorders>
            <w:vAlign w:val="center"/>
            <w:hideMark/>
          </w:tcPr>
          <w:p w14:paraId="40B8B382" w14:textId="3C2E1050" w:rsidR="00140437" w:rsidRPr="00FA58EA" w:rsidRDefault="00FC4CD9" w:rsidP="0039706A">
            <w:pPr>
              <w:cnfStyle w:val="000000100000" w:firstRow="0" w:lastRow="0" w:firstColumn="0" w:lastColumn="0" w:oddVBand="0" w:evenVBand="0" w:oddHBand="1" w:evenHBand="0" w:firstRowFirstColumn="0" w:firstRowLastColumn="0" w:lastRowFirstColumn="0" w:lastRowLastColumn="0"/>
              <w:rPr>
                <w:sz w:val="20"/>
                <w:szCs w:val="20"/>
                <w:lang w:val="en-GB"/>
              </w:rPr>
            </w:pPr>
            <w:r>
              <w:rPr>
                <w:sz w:val="20"/>
                <w:szCs w:val="20"/>
                <w:lang w:val="en-GB"/>
              </w:rPr>
              <w:t xml:space="preserve">Enfants non scolarisés </w:t>
            </w:r>
          </w:p>
        </w:tc>
      </w:tr>
      <w:tr w:rsidR="00140437" w:rsidRPr="00FA58EA" w14:paraId="5C5DEBB7" w14:textId="77777777" w:rsidTr="00BB34F7">
        <w:tc>
          <w:tcPr>
            <w:cnfStyle w:val="001000000000" w:firstRow="0" w:lastRow="0" w:firstColumn="1" w:lastColumn="0" w:oddVBand="0" w:evenVBand="0" w:oddHBand="0" w:evenHBand="0" w:firstRowFirstColumn="0" w:firstRowLastColumn="0" w:lastRowFirstColumn="0" w:lastRowLastColumn="0"/>
            <w:tcW w:w="3586" w:type="dxa"/>
            <w:vAlign w:val="center"/>
            <w:hideMark/>
          </w:tcPr>
          <w:p w14:paraId="19985464" w14:textId="77777777" w:rsidR="00FC4CD9" w:rsidRPr="00FC4CD9" w:rsidRDefault="00FC4CD9" w:rsidP="00FC4CD9">
            <w:pPr>
              <w:rPr>
                <w:b w:val="0"/>
                <w:sz w:val="20"/>
                <w:szCs w:val="20"/>
                <w:lang w:val="fr-FR"/>
              </w:rPr>
            </w:pPr>
            <w:r w:rsidRPr="00FC4CD9">
              <w:rPr>
                <w:b w:val="0"/>
                <w:sz w:val="20"/>
                <w:szCs w:val="20"/>
                <w:lang w:val="fr-FR"/>
              </w:rPr>
              <w:t>Obstacles à l’accès à l’éducation</w:t>
            </w:r>
          </w:p>
          <w:p w14:paraId="03EA4C16" w14:textId="77777777" w:rsidR="00FC4CD9" w:rsidRPr="00FC4CD9" w:rsidRDefault="00FC4CD9" w:rsidP="00FC4CD9">
            <w:pPr>
              <w:rPr>
                <w:b w:val="0"/>
                <w:sz w:val="20"/>
                <w:szCs w:val="20"/>
                <w:lang w:val="fr-FR"/>
              </w:rPr>
            </w:pPr>
            <w:r w:rsidRPr="00FC4CD9">
              <w:rPr>
                <w:b w:val="0"/>
                <w:sz w:val="20"/>
                <w:szCs w:val="20"/>
                <w:lang w:val="fr-FR"/>
              </w:rPr>
              <w:t>- le travail des enfants</w:t>
            </w:r>
          </w:p>
          <w:p w14:paraId="4E758D9B" w14:textId="77777777" w:rsidR="00FC4CD9" w:rsidRPr="00FC4CD9" w:rsidRDefault="00FC4CD9" w:rsidP="00FC4CD9">
            <w:pPr>
              <w:rPr>
                <w:b w:val="0"/>
                <w:sz w:val="20"/>
                <w:szCs w:val="20"/>
                <w:lang w:val="fr-FR"/>
              </w:rPr>
            </w:pPr>
            <w:r w:rsidRPr="00FC4CD9">
              <w:rPr>
                <w:b w:val="0"/>
                <w:sz w:val="20"/>
                <w:szCs w:val="20"/>
                <w:lang w:val="fr-FR"/>
              </w:rPr>
              <w:t>- mariage d’enfants</w:t>
            </w:r>
          </w:p>
          <w:p w14:paraId="0EC65432" w14:textId="77777777" w:rsidR="00FC4CD9" w:rsidRPr="00FC4CD9" w:rsidRDefault="00FC4CD9" w:rsidP="00FC4CD9">
            <w:pPr>
              <w:rPr>
                <w:b w:val="0"/>
                <w:sz w:val="20"/>
                <w:szCs w:val="20"/>
                <w:lang w:val="fr-FR"/>
              </w:rPr>
            </w:pPr>
            <w:r w:rsidRPr="00FC4CD9">
              <w:rPr>
                <w:b w:val="0"/>
                <w:sz w:val="20"/>
                <w:szCs w:val="20"/>
                <w:lang w:val="fr-FR"/>
              </w:rPr>
              <w:t>- les enfants handicapés</w:t>
            </w:r>
          </w:p>
          <w:p w14:paraId="6998B051" w14:textId="77777777" w:rsidR="00FC4CD9" w:rsidRPr="00FC4CD9" w:rsidRDefault="00FC4CD9" w:rsidP="00FC4CD9">
            <w:pPr>
              <w:rPr>
                <w:b w:val="0"/>
                <w:sz w:val="20"/>
                <w:szCs w:val="20"/>
                <w:lang w:val="fr-FR"/>
              </w:rPr>
            </w:pPr>
            <w:r w:rsidRPr="00FC4CD9">
              <w:rPr>
                <w:b w:val="0"/>
                <w:sz w:val="20"/>
                <w:szCs w:val="20"/>
                <w:lang w:val="fr-FR"/>
              </w:rPr>
              <w:t>- CAAFAG</w:t>
            </w:r>
          </w:p>
          <w:p w14:paraId="21B10F6F" w14:textId="77777777" w:rsidR="00FC4CD9" w:rsidRPr="00FC4CD9" w:rsidRDefault="00FC4CD9" w:rsidP="00FC4CD9">
            <w:pPr>
              <w:rPr>
                <w:b w:val="0"/>
                <w:sz w:val="20"/>
                <w:szCs w:val="20"/>
                <w:lang w:val="fr-FR"/>
              </w:rPr>
            </w:pPr>
            <w:r w:rsidRPr="00FC4CD9">
              <w:rPr>
                <w:b w:val="0"/>
                <w:sz w:val="20"/>
                <w:szCs w:val="20"/>
                <w:lang w:val="fr-FR"/>
              </w:rPr>
              <w:t>- Enfants non accompagnés et séparés</w:t>
            </w:r>
          </w:p>
          <w:p w14:paraId="20A9E068" w14:textId="77777777" w:rsidR="00FC4CD9" w:rsidRPr="00FC4CD9" w:rsidRDefault="00FC4CD9" w:rsidP="00FC4CD9">
            <w:pPr>
              <w:rPr>
                <w:b w:val="0"/>
                <w:sz w:val="20"/>
                <w:szCs w:val="20"/>
                <w:lang w:val="fr-FR"/>
              </w:rPr>
            </w:pPr>
            <w:r w:rsidRPr="00FC4CD9">
              <w:rPr>
                <w:b w:val="0"/>
                <w:sz w:val="20"/>
                <w:szCs w:val="20"/>
                <w:lang w:val="fr-FR"/>
              </w:rPr>
              <w:t>- Les enfants qui souffrent de violence, de négligence et/ou d’abus</w:t>
            </w:r>
          </w:p>
          <w:p w14:paraId="2026D64E" w14:textId="5ADFD29F" w:rsidR="00140437" w:rsidRPr="00FC4CD9" w:rsidRDefault="00FC4CD9" w:rsidP="00FC4CD9">
            <w:pPr>
              <w:rPr>
                <w:sz w:val="20"/>
                <w:szCs w:val="20"/>
                <w:lang w:val="en-GB"/>
              </w:rPr>
            </w:pPr>
            <w:r w:rsidRPr="00FC4CD9">
              <w:rPr>
                <w:b w:val="0"/>
                <w:sz w:val="20"/>
                <w:szCs w:val="20"/>
                <w:lang w:val="en-GB"/>
              </w:rPr>
              <w:t>- Enfants sans documentation</w:t>
            </w:r>
            <w:r>
              <w:rPr>
                <w:b w:val="0"/>
                <w:sz w:val="20"/>
                <w:szCs w:val="20"/>
                <w:lang w:val="en-GB"/>
              </w:rPr>
              <w:t xml:space="preserve">  </w:t>
            </w:r>
          </w:p>
        </w:tc>
        <w:tc>
          <w:tcPr>
            <w:tcW w:w="3586" w:type="dxa"/>
            <w:vAlign w:val="center"/>
          </w:tcPr>
          <w:p w14:paraId="0CF83479" w14:textId="77777777" w:rsidR="00140437" w:rsidRPr="00FA58EA" w:rsidRDefault="0014043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b/>
                <w:bCs/>
                <w:color w:val="9CC2E5" w:themeColor="accent5" w:themeTint="99"/>
                <w:sz w:val="20"/>
                <w:szCs w:val="20"/>
                <w:lang w:val="en-GB"/>
              </w:rPr>
            </w:pPr>
          </w:p>
          <w:p w14:paraId="2901BA09" w14:textId="49B34A27" w:rsidR="00140437" w:rsidRPr="00FA58EA" w:rsidRDefault="00BB34F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b/>
                <w:bCs/>
                <w:color w:val="9CC2E5" w:themeColor="accent5" w:themeTint="99"/>
                <w:sz w:val="20"/>
                <w:szCs w:val="20"/>
                <w:lang w:val="en-GB"/>
              </w:rPr>
            </w:pPr>
            <w:r w:rsidRPr="00FA58EA">
              <w:rPr>
                <w:rFonts w:ascii="Zapf Dingbats" w:hAnsi="Zapf Dingbats"/>
                <w:b/>
                <w:bCs/>
                <w:noProof/>
                <w:color w:val="9CC2E5" w:themeColor="accent5" w:themeTint="99"/>
                <w:sz w:val="20"/>
                <w:szCs w:val="20"/>
                <w:lang w:val="fr-FR" w:eastAsia="fr-FR"/>
              </w:rPr>
              <w:drawing>
                <wp:inline distT="0" distB="0" distL="0" distR="0" wp14:anchorId="58DE9D54" wp14:editId="77927C31">
                  <wp:extent cx="130628" cy="130628"/>
                  <wp:effectExtent l="0" t="0" r="3175" b="3175"/>
                  <wp:docPr id="1" name="Graphic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p w14:paraId="424AA7F6" w14:textId="7E3098CD" w:rsidR="00140437" w:rsidRPr="00FA58EA" w:rsidRDefault="00BB34F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color w:val="9CC2E5" w:themeColor="accent5" w:themeTint="99"/>
                <w:sz w:val="20"/>
                <w:szCs w:val="20"/>
                <w:lang w:val="en-GB"/>
              </w:rPr>
            </w:pPr>
            <w:r w:rsidRPr="00FA58EA">
              <w:rPr>
                <w:rFonts w:ascii="Zapf Dingbats" w:hAnsi="Zapf Dingbats"/>
                <w:b/>
                <w:bCs/>
                <w:noProof/>
                <w:color w:val="9CC2E5" w:themeColor="accent5" w:themeTint="99"/>
                <w:sz w:val="20"/>
                <w:szCs w:val="20"/>
                <w:lang w:val="fr-FR" w:eastAsia="fr-FR"/>
              </w:rPr>
              <w:drawing>
                <wp:inline distT="0" distB="0" distL="0" distR="0" wp14:anchorId="3D237401" wp14:editId="315DD3C8">
                  <wp:extent cx="130628" cy="130628"/>
                  <wp:effectExtent l="0" t="0" r="3175" b="3175"/>
                  <wp:docPr id="2" name="Graphic 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p w14:paraId="451A6727" w14:textId="2962DA20" w:rsidR="00140437" w:rsidRPr="00FA58EA" w:rsidRDefault="00BB34F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color w:val="9CC2E5" w:themeColor="accent5" w:themeTint="99"/>
                <w:sz w:val="20"/>
                <w:szCs w:val="20"/>
                <w:lang w:val="en-GB"/>
              </w:rPr>
            </w:pPr>
            <w:r w:rsidRPr="00FA58EA">
              <w:rPr>
                <w:rFonts w:ascii="Zapf Dingbats" w:hAnsi="Zapf Dingbats"/>
                <w:b/>
                <w:bCs/>
                <w:noProof/>
                <w:color w:val="9CC2E5" w:themeColor="accent5" w:themeTint="99"/>
                <w:sz w:val="20"/>
                <w:szCs w:val="20"/>
                <w:lang w:val="fr-FR" w:eastAsia="fr-FR"/>
              </w:rPr>
              <w:drawing>
                <wp:inline distT="0" distB="0" distL="0" distR="0" wp14:anchorId="78074A47" wp14:editId="7DD6B800">
                  <wp:extent cx="130628" cy="130628"/>
                  <wp:effectExtent l="0" t="0" r="3175" b="3175"/>
                  <wp:docPr id="3" name="Graphic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p w14:paraId="20F41464" w14:textId="5056B599" w:rsidR="00140437" w:rsidRPr="00FA58EA" w:rsidRDefault="00BB34F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color w:val="9CC2E5" w:themeColor="accent5" w:themeTint="99"/>
                <w:sz w:val="20"/>
                <w:szCs w:val="20"/>
                <w:lang w:val="en-GB"/>
              </w:rPr>
            </w:pPr>
            <w:r w:rsidRPr="00FA58EA">
              <w:rPr>
                <w:rFonts w:ascii="Zapf Dingbats" w:hAnsi="Zapf Dingbats"/>
                <w:b/>
                <w:bCs/>
                <w:noProof/>
                <w:color w:val="9CC2E5" w:themeColor="accent5" w:themeTint="99"/>
                <w:sz w:val="20"/>
                <w:szCs w:val="20"/>
                <w:lang w:val="fr-FR" w:eastAsia="fr-FR"/>
              </w:rPr>
              <w:drawing>
                <wp:inline distT="0" distB="0" distL="0" distR="0" wp14:anchorId="3BFF2CB9" wp14:editId="0F16EEE0">
                  <wp:extent cx="130628" cy="130628"/>
                  <wp:effectExtent l="0" t="0" r="3175" b="3175"/>
                  <wp:docPr id="4" name="Graphic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p w14:paraId="4EBF1645" w14:textId="29817C5C" w:rsidR="00140437" w:rsidRPr="00FA58EA" w:rsidRDefault="00BB34F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color w:val="9CC2E5" w:themeColor="accent5" w:themeTint="99"/>
                <w:sz w:val="20"/>
                <w:szCs w:val="20"/>
                <w:lang w:val="en-GB"/>
              </w:rPr>
            </w:pPr>
            <w:r w:rsidRPr="00FA58EA">
              <w:rPr>
                <w:rFonts w:ascii="Zapf Dingbats" w:hAnsi="Zapf Dingbats"/>
                <w:b/>
                <w:bCs/>
                <w:noProof/>
                <w:color w:val="9CC2E5" w:themeColor="accent5" w:themeTint="99"/>
                <w:sz w:val="20"/>
                <w:szCs w:val="20"/>
                <w:lang w:val="fr-FR" w:eastAsia="fr-FR"/>
              </w:rPr>
              <w:drawing>
                <wp:inline distT="0" distB="0" distL="0" distR="0" wp14:anchorId="51E34080" wp14:editId="1677DAF0">
                  <wp:extent cx="130628" cy="130628"/>
                  <wp:effectExtent l="0" t="0" r="3175" b="3175"/>
                  <wp:docPr id="5" name="Graphic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p w14:paraId="13C63C05" w14:textId="678C9DBA" w:rsidR="00140437" w:rsidRPr="00FA58EA" w:rsidRDefault="00BB34F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color w:val="9CC2E5" w:themeColor="accent5" w:themeTint="99"/>
                <w:sz w:val="20"/>
                <w:szCs w:val="20"/>
                <w:lang w:val="en-GB"/>
              </w:rPr>
            </w:pPr>
            <w:r w:rsidRPr="00FA58EA">
              <w:rPr>
                <w:rFonts w:ascii="Zapf Dingbats" w:hAnsi="Zapf Dingbats"/>
                <w:b/>
                <w:bCs/>
                <w:noProof/>
                <w:color w:val="9CC2E5" w:themeColor="accent5" w:themeTint="99"/>
                <w:sz w:val="20"/>
                <w:szCs w:val="20"/>
                <w:lang w:val="fr-FR" w:eastAsia="fr-FR"/>
              </w:rPr>
              <w:drawing>
                <wp:inline distT="0" distB="0" distL="0" distR="0" wp14:anchorId="7D0F3599" wp14:editId="151D0C91">
                  <wp:extent cx="130628" cy="130628"/>
                  <wp:effectExtent l="0" t="0" r="3175" b="3175"/>
                  <wp:docPr id="6" name="Graphic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p w14:paraId="36F95552" w14:textId="188BCD47" w:rsidR="00140437" w:rsidRPr="00FA58EA" w:rsidRDefault="00BB34F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b/>
                <w:bCs/>
                <w:color w:val="9CC2E5" w:themeColor="accent5" w:themeTint="99"/>
                <w:sz w:val="20"/>
                <w:szCs w:val="20"/>
                <w:lang w:val="en-GB"/>
              </w:rPr>
            </w:pPr>
            <w:r w:rsidRPr="00FA58EA">
              <w:rPr>
                <w:rFonts w:ascii="Zapf Dingbats" w:hAnsi="Zapf Dingbats"/>
                <w:b/>
                <w:bCs/>
                <w:noProof/>
                <w:color w:val="9CC2E5" w:themeColor="accent5" w:themeTint="99"/>
                <w:sz w:val="20"/>
                <w:szCs w:val="20"/>
                <w:lang w:val="fr-FR" w:eastAsia="fr-FR"/>
              </w:rPr>
              <w:drawing>
                <wp:inline distT="0" distB="0" distL="0" distR="0" wp14:anchorId="3AA1C7EF" wp14:editId="1A71A6EA">
                  <wp:extent cx="130628" cy="130628"/>
                  <wp:effectExtent l="0" t="0" r="3175" b="3175"/>
                  <wp:docPr id="7" name="Graphic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p w14:paraId="164B0BE6" w14:textId="5950B076" w:rsidR="00140437" w:rsidRPr="00FA58EA" w:rsidRDefault="00BB34F7" w:rsidP="00BB34F7">
            <w:pPr>
              <w:ind w:left="-157"/>
              <w:jc w:val="center"/>
              <w:cnfStyle w:val="000000000000" w:firstRow="0" w:lastRow="0" w:firstColumn="0" w:lastColumn="0" w:oddVBand="0" w:evenVBand="0" w:oddHBand="0" w:evenHBand="0" w:firstRowFirstColumn="0" w:firstRowLastColumn="0" w:lastRowFirstColumn="0" w:lastRowLastColumn="0"/>
              <w:rPr>
                <w:rFonts w:ascii="Zapf Dingbats" w:hAnsi="Zapf Dingbats"/>
                <w:b/>
                <w:bCs/>
                <w:color w:val="9CC2E5" w:themeColor="accent5" w:themeTint="99"/>
                <w:sz w:val="20"/>
                <w:szCs w:val="20"/>
                <w:lang w:val="en-GB"/>
              </w:rPr>
            </w:pPr>
            <w:r w:rsidRPr="00FA58EA">
              <w:rPr>
                <w:rFonts w:ascii="Zapf Dingbats" w:hAnsi="Zapf Dingbats"/>
                <w:b/>
                <w:bCs/>
                <w:color w:val="9CC2E5" w:themeColor="accent5" w:themeTint="99"/>
                <w:sz w:val="20"/>
                <w:szCs w:val="20"/>
                <w:lang w:val="en-GB"/>
              </w:rPr>
              <w:t></w:t>
            </w:r>
            <w:r w:rsidRPr="00FA58EA">
              <w:rPr>
                <w:rFonts w:ascii="Zapf Dingbats" w:hAnsi="Zapf Dingbats"/>
                <w:b/>
                <w:bCs/>
                <w:noProof/>
                <w:color w:val="9CC2E5" w:themeColor="accent5" w:themeTint="99"/>
                <w:sz w:val="20"/>
                <w:szCs w:val="20"/>
                <w:lang w:val="fr-FR" w:eastAsia="fr-FR"/>
              </w:rPr>
              <w:drawing>
                <wp:inline distT="0" distB="0" distL="0" distR="0" wp14:anchorId="66435C6B" wp14:editId="4E656AA8">
                  <wp:extent cx="130628" cy="130628"/>
                  <wp:effectExtent l="0" t="0" r="3175" b="3175"/>
                  <wp:docPr id="8" name="Graphic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p w14:paraId="5814399D" w14:textId="078E7D0E" w:rsidR="00140437" w:rsidRPr="00FA58EA" w:rsidRDefault="00BB34F7" w:rsidP="0039706A">
            <w:pPr>
              <w:jc w:val="center"/>
              <w:cnfStyle w:val="000000000000" w:firstRow="0" w:lastRow="0" w:firstColumn="0" w:lastColumn="0" w:oddVBand="0" w:evenVBand="0" w:oddHBand="0" w:evenHBand="0" w:firstRowFirstColumn="0" w:firstRowLastColumn="0" w:lastRowFirstColumn="0" w:lastRowLastColumn="0"/>
              <w:rPr>
                <w:rFonts w:ascii="Zapf Dingbats" w:hAnsi="Zapf Dingbats"/>
                <w:b/>
                <w:bCs/>
                <w:color w:val="9CC2E5" w:themeColor="accent5" w:themeTint="99"/>
                <w:sz w:val="20"/>
                <w:szCs w:val="20"/>
                <w:lang w:val="en-GB"/>
              </w:rPr>
            </w:pPr>
            <w:r w:rsidRPr="00FA58EA">
              <w:rPr>
                <w:rFonts w:ascii="Zapf Dingbats" w:hAnsi="Zapf Dingbats"/>
                <w:b/>
                <w:bCs/>
                <w:noProof/>
                <w:color w:val="9CC2E5" w:themeColor="accent5" w:themeTint="99"/>
                <w:sz w:val="20"/>
                <w:szCs w:val="20"/>
                <w:lang w:val="fr-FR" w:eastAsia="fr-FR"/>
              </w:rPr>
              <w:drawing>
                <wp:inline distT="0" distB="0" distL="0" distR="0" wp14:anchorId="5568EA3A" wp14:editId="2912B98F">
                  <wp:extent cx="130628" cy="130628"/>
                  <wp:effectExtent l="0" t="0" r="3175" b="3175"/>
                  <wp:docPr id="9" name="Graphic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pic:cNvPicPr/>
                        </pic:nvPicPr>
                        <pic:blipFill>
                          <a:blip r:embed="rId13">
                            <a:extLst>
                              <a:ext uri="{96DAC541-7B7A-43D3-8B79-37D633B846F1}">
                                <asvg:svgBlip xmlns:asvg="http://schemas.microsoft.com/office/drawing/2016/SVG/main" r:embed="rId14"/>
                              </a:ext>
                            </a:extLst>
                          </a:blip>
                          <a:stretch>
                            <a:fillRect/>
                          </a:stretch>
                        </pic:blipFill>
                        <pic:spPr>
                          <a:xfrm>
                            <a:off x="0" y="0"/>
                            <a:ext cx="152789" cy="152789"/>
                          </a:xfrm>
                          <a:prstGeom prst="rect">
                            <a:avLst/>
                          </a:prstGeom>
                        </pic:spPr>
                      </pic:pic>
                    </a:graphicData>
                  </a:graphic>
                </wp:inline>
              </w:drawing>
            </w:r>
          </w:p>
        </w:tc>
        <w:tc>
          <w:tcPr>
            <w:tcW w:w="3586" w:type="dxa"/>
            <w:vAlign w:val="center"/>
            <w:hideMark/>
          </w:tcPr>
          <w:p w14:paraId="3FCA16DC" w14:textId="77777777" w:rsidR="00FB4DF3" w:rsidRPr="00FB4DF3" w:rsidRDefault="00FB4DF3" w:rsidP="00FB4DF3">
            <w:pPr>
              <w:cnfStyle w:val="000000000000" w:firstRow="0" w:lastRow="0" w:firstColumn="0" w:lastColumn="0" w:oddVBand="0" w:evenVBand="0" w:oddHBand="0" w:evenHBand="0" w:firstRowFirstColumn="0" w:firstRowLastColumn="0" w:lastRowFirstColumn="0" w:lastRowLastColumn="0"/>
              <w:rPr>
                <w:sz w:val="20"/>
                <w:szCs w:val="20"/>
                <w:lang w:val="fr-FR"/>
              </w:rPr>
            </w:pPr>
            <w:r w:rsidRPr="00FB4DF3">
              <w:rPr>
                <w:sz w:val="20"/>
                <w:szCs w:val="20"/>
                <w:lang w:val="fr-FR"/>
              </w:rPr>
              <w:t>Catégories de vulnérabilité des enfants</w:t>
            </w:r>
          </w:p>
          <w:p w14:paraId="46DBCD37" w14:textId="77777777" w:rsidR="00FB4DF3" w:rsidRPr="00FB4DF3" w:rsidRDefault="00FB4DF3" w:rsidP="00FB4DF3">
            <w:pPr>
              <w:cnfStyle w:val="000000000000" w:firstRow="0" w:lastRow="0" w:firstColumn="0" w:lastColumn="0" w:oddVBand="0" w:evenVBand="0" w:oddHBand="0" w:evenHBand="0" w:firstRowFirstColumn="0" w:firstRowLastColumn="0" w:lastRowFirstColumn="0" w:lastRowLastColumn="0"/>
              <w:rPr>
                <w:sz w:val="20"/>
                <w:szCs w:val="20"/>
                <w:lang w:val="fr-FR"/>
              </w:rPr>
            </w:pPr>
            <w:r w:rsidRPr="00FB4DF3">
              <w:rPr>
                <w:sz w:val="20"/>
                <w:szCs w:val="20"/>
                <w:lang w:val="fr-FR"/>
              </w:rPr>
              <w:t>- les enfants engagés dans le travail</w:t>
            </w:r>
          </w:p>
          <w:p w14:paraId="795C81E8" w14:textId="77777777" w:rsidR="00FB4DF3" w:rsidRPr="00FB4DF3" w:rsidRDefault="00FB4DF3" w:rsidP="00FB4DF3">
            <w:pPr>
              <w:cnfStyle w:val="000000000000" w:firstRow="0" w:lastRow="0" w:firstColumn="0" w:lastColumn="0" w:oddVBand="0" w:evenVBand="0" w:oddHBand="0" w:evenHBand="0" w:firstRowFirstColumn="0" w:firstRowLastColumn="0" w:lastRowFirstColumn="0" w:lastRowLastColumn="0"/>
              <w:rPr>
                <w:sz w:val="20"/>
                <w:szCs w:val="20"/>
                <w:lang w:val="fr-FR"/>
              </w:rPr>
            </w:pPr>
            <w:r w:rsidRPr="00FB4DF3">
              <w:rPr>
                <w:sz w:val="20"/>
                <w:szCs w:val="20"/>
                <w:lang w:val="fr-FR"/>
              </w:rPr>
              <w:t>- enfants mariés</w:t>
            </w:r>
          </w:p>
          <w:p w14:paraId="6CF093B2" w14:textId="77777777" w:rsidR="00FB4DF3" w:rsidRPr="00FB4DF3" w:rsidRDefault="00FB4DF3" w:rsidP="00FB4DF3">
            <w:pPr>
              <w:cnfStyle w:val="000000000000" w:firstRow="0" w:lastRow="0" w:firstColumn="0" w:lastColumn="0" w:oddVBand="0" w:evenVBand="0" w:oddHBand="0" w:evenHBand="0" w:firstRowFirstColumn="0" w:firstRowLastColumn="0" w:lastRowFirstColumn="0" w:lastRowLastColumn="0"/>
              <w:rPr>
                <w:sz w:val="20"/>
                <w:szCs w:val="20"/>
                <w:lang w:val="fr-FR"/>
              </w:rPr>
            </w:pPr>
            <w:r w:rsidRPr="00FB4DF3">
              <w:rPr>
                <w:sz w:val="20"/>
                <w:szCs w:val="20"/>
                <w:lang w:val="fr-FR"/>
              </w:rPr>
              <w:t>- les enfants handicapés</w:t>
            </w:r>
          </w:p>
          <w:p w14:paraId="645EFB96" w14:textId="77777777" w:rsidR="00FB4DF3" w:rsidRPr="00FB4DF3" w:rsidRDefault="00FB4DF3" w:rsidP="00FB4DF3">
            <w:pPr>
              <w:cnfStyle w:val="000000000000" w:firstRow="0" w:lastRow="0" w:firstColumn="0" w:lastColumn="0" w:oddVBand="0" w:evenVBand="0" w:oddHBand="0" w:evenHBand="0" w:firstRowFirstColumn="0" w:firstRowLastColumn="0" w:lastRowFirstColumn="0" w:lastRowLastColumn="0"/>
              <w:rPr>
                <w:sz w:val="20"/>
                <w:szCs w:val="20"/>
                <w:lang w:val="fr-FR"/>
              </w:rPr>
            </w:pPr>
            <w:r w:rsidRPr="00FB4DF3">
              <w:rPr>
                <w:sz w:val="20"/>
                <w:szCs w:val="20"/>
                <w:lang w:val="fr-FR"/>
              </w:rPr>
              <w:t>- CAAFAG</w:t>
            </w:r>
          </w:p>
          <w:p w14:paraId="2AE6A74C" w14:textId="77777777" w:rsidR="00FB4DF3" w:rsidRPr="00FB4DF3" w:rsidRDefault="00FB4DF3" w:rsidP="00FB4DF3">
            <w:pPr>
              <w:cnfStyle w:val="000000000000" w:firstRow="0" w:lastRow="0" w:firstColumn="0" w:lastColumn="0" w:oddVBand="0" w:evenVBand="0" w:oddHBand="0" w:evenHBand="0" w:firstRowFirstColumn="0" w:firstRowLastColumn="0" w:lastRowFirstColumn="0" w:lastRowLastColumn="0"/>
              <w:rPr>
                <w:sz w:val="20"/>
                <w:szCs w:val="20"/>
                <w:lang w:val="fr-FR"/>
              </w:rPr>
            </w:pPr>
            <w:r w:rsidRPr="00FB4DF3">
              <w:rPr>
                <w:sz w:val="20"/>
                <w:szCs w:val="20"/>
                <w:lang w:val="fr-FR"/>
              </w:rPr>
              <w:t>- Enfants non accompagnés et séparés</w:t>
            </w:r>
          </w:p>
          <w:p w14:paraId="6DACE779" w14:textId="77777777" w:rsidR="00FB4DF3" w:rsidRPr="00FB4DF3" w:rsidRDefault="00FB4DF3" w:rsidP="00FB4DF3">
            <w:pPr>
              <w:cnfStyle w:val="000000000000" w:firstRow="0" w:lastRow="0" w:firstColumn="0" w:lastColumn="0" w:oddVBand="0" w:evenVBand="0" w:oddHBand="0" w:evenHBand="0" w:firstRowFirstColumn="0" w:firstRowLastColumn="0" w:lastRowFirstColumn="0" w:lastRowLastColumn="0"/>
              <w:rPr>
                <w:sz w:val="20"/>
                <w:szCs w:val="20"/>
                <w:lang w:val="fr-FR"/>
              </w:rPr>
            </w:pPr>
            <w:r w:rsidRPr="00FB4DF3">
              <w:rPr>
                <w:sz w:val="20"/>
                <w:szCs w:val="20"/>
                <w:lang w:val="fr-FR"/>
              </w:rPr>
              <w:t>- Les enfants qui souffrent de violence, de négligence et/ou d’abus</w:t>
            </w:r>
          </w:p>
          <w:p w14:paraId="74E3A5D6" w14:textId="3EC33053" w:rsidR="00140437" w:rsidRPr="00FB4DF3" w:rsidRDefault="00FB4DF3" w:rsidP="00FB4DF3">
            <w:pPr>
              <w:cnfStyle w:val="000000000000" w:firstRow="0" w:lastRow="0" w:firstColumn="0" w:lastColumn="0" w:oddVBand="0" w:evenVBand="0" w:oddHBand="0" w:evenHBand="0" w:firstRowFirstColumn="0" w:firstRowLastColumn="0" w:lastRowFirstColumn="0" w:lastRowLastColumn="0"/>
              <w:rPr>
                <w:sz w:val="20"/>
                <w:szCs w:val="20"/>
                <w:lang w:val="en-GB"/>
              </w:rPr>
            </w:pPr>
            <w:r w:rsidRPr="00FB4DF3">
              <w:rPr>
                <w:sz w:val="20"/>
                <w:szCs w:val="20"/>
                <w:lang w:val="en-GB"/>
              </w:rPr>
              <w:t>- Enfants sans documentation</w:t>
            </w:r>
            <w:r w:rsidR="00140437" w:rsidRPr="00FB4DF3">
              <w:rPr>
                <w:sz w:val="20"/>
                <w:szCs w:val="20"/>
                <w:lang w:val="en-GB"/>
              </w:rPr>
              <w:t xml:space="preserve"> </w:t>
            </w:r>
          </w:p>
        </w:tc>
      </w:tr>
      <w:tr w:rsidR="00140437" w:rsidRPr="005365F9" w14:paraId="600B9815" w14:textId="77777777" w:rsidTr="00BB3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Borders>
              <w:top w:val="none" w:sz="0" w:space="0" w:color="auto"/>
              <w:left w:val="none" w:sz="0" w:space="0" w:color="auto"/>
              <w:bottom w:val="none" w:sz="0" w:space="0" w:color="auto"/>
            </w:tcBorders>
            <w:vAlign w:val="center"/>
            <w:hideMark/>
          </w:tcPr>
          <w:p w14:paraId="1A28B7C1" w14:textId="25D92D3E" w:rsidR="00140437" w:rsidRPr="00FB4DF3" w:rsidRDefault="00FB4DF3" w:rsidP="0039706A">
            <w:pPr>
              <w:rPr>
                <w:b w:val="0"/>
                <w:sz w:val="20"/>
                <w:szCs w:val="20"/>
                <w:lang w:val="fr-FR"/>
              </w:rPr>
            </w:pPr>
            <w:r w:rsidRPr="00FB4DF3">
              <w:rPr>
                <w:b w:val="0"/>
                <w:sz w:val="20"/>
                <w:szCs w:val="20"/>
                <w:lang w:val="fr-FR"/>
              </w:rPr>
              <w:t>Disponibilité du personnel éducatif qualifié</w:t>
            </w:r>
          </w:p>
        </w:tc>
        <w:tc>
          <w:tcPr>
            <w:tcW w:w="3586" w:type="dxa"/>
            <w:tcBorders>
              <w:top w:val="none" w:sz="0" w:space="0" w:color="auto"/>
              <w:bottom w:val="none" w:sz="0" w:space="0" w:color="auto"/>
            </w:tcBorders>
            <w:vAlign w:val="center"/>
            <w:hideMark/>
          </w:tcPr>
          <w:p w14:paraId="271E2CA6" w14:textId="56E4C2CC" w:rsidR="00140437" w:rsidRPr="00A31F4A" w:rsidRDefault="00A31F4A"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A31F4A">
              <w:rPr>
                <w:sz w:val="20"/>
                <w:szCs w:val="20"/>
                <w:lang w:val="fr-FR"/>
              </w:rPr>
              <w:t>Personnel d’éducation formé sur les bases de la protection de l’enfance (y com</w:t>
            </w:r>
            <w:r>
              <w:rPr>
                <w:sz w:val="20"/>
                <w:szCs w:val="20"/>
                <w:lang w:val="fr-FR"/>
              </w:rPr>
              <w:t>pris la voie de référence</w:t>
            </w:r>
            <w:r w:rsidRPr="00A31F4A">
              <w:rPr>
                <w:sz w:val="20"/>
                <w:szCs w:val="20"/>
                <w:lang w:val="fr-FR"/>
              </w:rPr>
              <w:t xml:space="preserve"> du P</w:t>
            </w:r>
            <w:r w:rsidR="00385B9E">
              <w:rPr>
                <w:sz w:val="20"/>
                <w:szCs w:val="20"/>
                <w:lang w:val="fr-FR"/>
              </w:rPr>
              <w:t>E</w:t>
            </w:r>
            <w:r w:rsidRPr="00A31F4A">
              <w:rPr>
                <w:sz w:val="20"/>
                <w:szCs w:val="20"/>
                <w:lang w:val="fr-FR"/>
              </w:rPr>
              <w:t>)</w:t>
            </w:r>
          </w:p>
        </w:tc>
        <w:tc>
          <w:tcPr>
            <w:tcW w:w="3586" w:type="dxa"/>
            <w:tcBorders>
              <w:top w:val="none" w:sz="0" w:space="0" w:color="auto"/>
              <w:bottom w:val="none" w:sz="0" w:space="0" w:color="auto"/>
              <w:right w:val="none" w:sz="0" w:space="0" w:color="auto"/>
            </w:tcBorders>
            <w:vAlign w:val="center"/>
            <w:hideMark/>
          </w:tcPr>
          <w:p w14:paraId="67FBEF54" w14:textId="3C125FA4" w:rsidR="00A31F4A" w:rsidRDefault="00A31F4A"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A31F4A">
              <w:rPr>
                <w:sz w:val="20"/>
                <w:szCs w:val="20"/>
                <w:lang w:val="fr-FR"/>
              </w:rPr>
              <w:t>Disponibilité du personnel de travail social qualifié</w:t>
            </w:r>
          </w:p>
          <w:p w14:paraId="4BA3A55C" w14:textId="27EBF0CB" w:rsidR="00140437" w:rsidRPr="00874DE4" w:rsidRDefault="00140437"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p>
        </w:tc>
      </w:tr>
      <w:tr w:rsidR="00140437" w:rsidRPr="005365F9" w14:paraId="765A3636" w14:textId="77777777" w:rsidTr="00BB34F7">
        <w:tc>
          <w:tcPr>
            <w:cnfStyle w:val="001000000000" w:firstRow="0" w:lastRow="0" w:firstColumn="1" w:lastColumn="0" w:oddVBand="0" w:evenVBand="0" w:oddHBand="0" w:evenHBand="0" w:firstRowFirstColumn="0" w:firstRowLastColumn="0" w:lastRowFirstColumn="0" w:lastRowLastColumn="0"/>
            <w:tcW w:w="3586" w:type="dxa"/>
            <w:vAlign w:val="center"/>
            <w:hideMark/>
          </w:tcPr>
          <w:p w14:paraId="37D6396B" w14:textId="4BD5F4BA" w:rsidR="00140437" w:rsidRPr="00FA58EA" w:rsidRDefault="00A31F4A" w:rsidP="0039706A">
            <w:pPr>
              <w:rPr>
                <w:b w:val="0"/>
                <w:bCs w:val="0"/>
                <w:sz w:val="20"/>
                <w:szCs w:val="20"/>
                <w:lang w:val="en-GB"/>
              </w:rPr>
            </w:pPr>
            <w:proofErr w:type="spellStart"/>
            <w:r w:rsidRPr="00A31F4A">
              <w:rPr>
                <w:b w:val="0"/>
                <w:sz w:val="20"/>
                <w:szCs w:val="20"/>
                <w:lang w:val="en-GB"/>
              </w:rPr>
              <w:lastRenderedPageBreak/>
              <w:t>Fo</w:t>
            </w:r>
            <w:r>
              <w:rPr>
                <w:b w:val="0"/>
                <w:sz w:val="20"/>
                <w:szCs w:val="20"/>
                <w:lang w:val="en-GB"/>
              </w:rPr>
              <w:t>nctionnalité</w:t>
            </w:r>
            <w:proofErr w:type="spellEnd"/>
            <w:r>
              <w:rPr>
                <w:b w:val="0"/>
                <w:sz w:val="20"/>
                <w:szCs w:val="20"/>
                <w:lang w:val="en-GB"/>
              </w:rPr>
              <w:t xml:space="preserve"> du </w:t>
            </w:r>
            <w:proofErr w:type="spellStart"/>
            <w:r>
              <w:rPr>
                <w:b w:val="0"/>
                <w:sz w:val="20"/>
                <w:szCs w:val="20"/>
                <w:lang w:val="en-GB"/>
              </w:rPr>
              <w:t>système</w:t>
            </w:r>
            <w:proofErr w:type="spellEnd"/>
            <w:r>
              <w:rPr>
                <w:b w:val="0"/>
                <w:sz w:val="20"/>
                <w:szCs w:val="20"/>
                <w:lang w:val="en-GB"/>
              </w:rPr>
              <w:t xml:space="preserve"> </w:t>
            </w:r>
            <w:proofErr w:type="spellStart"/>
            <w:r>
              <w:rPr>
                <w:b w:val="0"/>
                <w:sz w:val="20"/>
                <w:szCs w:val="20"/>
                <w:lang w:val="en-GB"/>
              </w:rPr>
              <w:t>éducatif</w:t>
            </w:r>
            <w:proofErr w:type="spellEnd"/>
          </w:p>
        </w:tc>
        <w:tc>
          <w:tcPr>
            <w:tcW w:w="3586" w:type="dxa"/>
            <w:vAlign w:val="center"/>
          </w:tcPr>
          <w:p w14:paraId="306584E8" w14:textId="77777777" w:rsidR="00140437" w:rsidRPr="00FA58EA" w:rsidRDefault="00140437" w:rsidP="0039706A">
            <w:pPr>
              <w:cnfStyle w:val="000000000000" w:firstRow="0" w:lastRow="0" w:firstColumn="0" w:lastColumn="0" w:oddVBand="0" w:evenVBand="0" w:oddHBand="0" w:evenHBand="0" w:firstRowFirstColumn="0" w:firstRowLastColumn="0" w:lastRowFirstColumn="0" w:lastRowLastColumn="0"/>
              <w:rPr>
                <w:sz w:val="20"/>
                <w:szCs w:val="20"/>
                <w:lang w:val="en-GB"/>
              </w:rPr>
            </w:pPr>
          </w:p>
        </w:tc>
        <w:tc>
          <w:tcPr>
            <w:tcW w:w="3586" w:type="dxa"/>
            <w:vAlign w:val="center"/>
            <w:hideMark/>
          </w:tcPr>
          <w:p w14:paraId="41A87340" w14:textId="6EBEA15D" w:rsidR="00140437" w:rsidRPr="00A31F4A" w:rsidRDefault="00A31F4A"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A31F4A">
              <w:rPr>
                <w:sz w:val="20"/>
                <w:szCs w:val="20"/>
                <w:lang w:val="fr-FR"/>
              </w:rPr>
              <w:t>Fonctionnalité du système de protection sociale</w:t>
            </w:r>
          </w:p>
        </w:tc>
      </w:tr>
      <w:tr w:rsidR="00140437" w:rsidRPr="005365F9" w14:paraId="064AF7BC" w14:textId="77777777" w:rsidTr="00BB3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Borders>
              <w:top w:val="none" w:sz="0" w:space="0" w:color="auto"/>
              <w:left w:val="none" w:sz="0" w:space="0" w:color="auto"/>
              <w:bottom w:val="none" w:sz="0" w:space="0" w:color="auto"/>
            </w:tcBorders>
            <w:vAlign w:val="center"/>
            <w:hideMark/>
          </w:tcPr>
          <w:p w14:paraId="7DDEBF42" w14:textId="44BCDD25" w:rsidR="00140437" w:rsidRPr="00FA58EA" w:rsidRDefault="00A31F4A" w:rsidP="0039706A">
            <w:pPr>
              <w:rPr>
                <w:b w:val="0"/>
                <w:bCs w:val="0"/>
                <w:sz w:val="20"/>
                <w:szCs w:val="20"/>
                <w:lang w:val="en-GB"/>
              </w:rPr>
            </w:pPr>
            <w:r w:rsidRPr="00A31F4A">
              <w:rPr>
                <w:b w:val="0"/>
                <w:bCs w:val="0"/>
                <w:sz w:val="20"/>
                <w:szCs w:val="20"/>
                <w:lang w:val="fr-FR"/>
              </w:rPr>
              <w:t xml:space="preserve">Impact des attaques sur l’éducation : statut des écoles (destruction/dommages, équipements de base, occupation scolaire par des déplacés ou des militaires), enseignants et élèves blessés. </w:t>
            </w:r>
            <w:r w:rsidRPr="00A31F4A">
              <w:rPr>
                <w:b w:val="0"/>
                <w:bCs w:val="0"/>
                <w:sz w:val="20"/>
                <w:szCs w:val="20"/>
                <w:lang w:val="en-GB"/>
              </w:rPr>
              <w:t>Tué</w:t>
            </w:r>
            <w:r>
              <w:rPr>
                <w:b w:val="0"/>
                <w:bCs w:val="0"/>
                <w:sz w:val="20"/>
                <w:szCs w:val="20"/>
                <w:lang w:val="en-GB"/>
              </w:rPr>
              <w:t>s</w:t>
            </w:r>
            <w:r w:rsidRPr="00A31F4A">
              <w:rPr>
                <w:b w:val="0"/>
                <w:bCs w:val="0"/>
                <w:sz w:val="20"/>
                <w:szCs w:val="20"/>
                <w:lang w:val="en-GB"/>
              </w:rPr>
              <w:t xml:space="preserve"> ou enlevé</w:t>
            </w:r>
            <w:r>
              <w:rPr>
                <w:b w:val="0"/>
                <w:bCs w:val="0"/>
                <w:sz w:val="20"/>
                <w:szCs w:val="20"/>
                <w:lang w:val="en-GB"/>
              </w:rPr>
              <w:t>s</w:t>
            </w:r>
            <w:r w:rsidRPr="00A31F4A">
              <w:rPr>
                <w:b w:val="0"/>
                <w:bCs w:val="0"/>
                <w:sz w:val="20"/>
                <w:szCs w:val="20"/>
                <w:lang w:val="en-GB"/>
              </w:rPr>
              <w:t>.</w:t>
            </w:r>
          </w:p>
        </w:tc>
        <w:tc>
          <w:tcPr>
            <w:tcW w:w="3586" w:type="dxa"/>
            <w:tcBorders>
              <w:top w:val="none" w:sz="0" w:space="0" w:color="auto"/>
              <w:bottom w:val="none" w:sz="0" w:space="0" w:color="auto"/>
            </w:tcBorders>
            <w:vAlign w:val="center"/>
            <w:hideMark/>
          </w:tcPr>
          <w:p w14:paraId="655C3ABD" w14:textId="30113377" w:rsidR="00140437" w:rsidRPr="00CF369A" w:rsidRDefault="00CF369A"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CF369A">
              <w:rPr>
                <w:sz w:val="20"/>
                <w:szCs w:val="20"/>
                <w:lang w:val="fr-FR"/>
              </w:rPr>
              <w:t>Attaques contre l’éducation; présence d’acteurs armés dans ou autour des écoles</w:t>
            </w:r>
          </w:p>
        </w:tc>
        <w:tc>
          <w:tcPr>
            <w:tcW w:w="3586" w:type="dxa"/>
            <w:tcBorders>
              <w:top w:val="none" w:sz="0" w:space="0" w:color="auto"/>
              <w:bottom w:val="none" w:sz="0" w:space="0" w:color="auto"/>
              <w:right w:val="none" w:sz="0" w:space="0" w:color="auto"/>
            </w:tcBorders>
            <w:vAlign w:val="center"/>
            <w:hideMark/>
          </w:tcPr>
          <w:p w14:paraId="7C3831AC" w14:textId="77777777" w:rsidR="00CF369A" w:rsidRPr="00874DE4" w:rsidRDefault="00CF369A"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p>
          <w:p w14:paraId="445E80B9" w14:textId="77777777" w:rsidR="00CF369A" w:rsidRPr="00CF369A" w:rsidRDefault="00CF369A" w:rsidP="00CF369A">
            <w:pPr>
              <w:cnfStyle w:val="000000100000" w:firstRow="0" w:lastRow="0" w:firstColumn="0" w:lastColumn="0" w:oddVBand="0" w:evenVBand="0" w:oddHBand="1" w:evenHBand="0" w:firstRowFirstColumn="0" w:firstRowLastColumn="0" w:lastRowFirstColumn="0" w:lastRowLastColumn="0"/>
              <w:rPr>
                <w:sz w:val="20"/>
                <w:szCs w:val="20"/>
                <w:lang w:val="fr-FR"/>
              </w:rPr>
            </w:pPr>
            <w:r w:rsidRPr="00CF369A">
              <w:rPr>
                <w:sz w:val="20"/>
                <w:szCs w:val="20"/>
                <w:lang w:val="fr-FR"/>
              </w:rPr>
              <w:t xml:space="preserve">Impact des attaques contre l’éducation : </w:t>
            </w:r>
          </w:p>
          <w:p w14:paraId="498B5FB0" w14:textId="787D02DC" w:rsidR="00CF369A" w:rsidRPr="00CF369A" w:rsidRDefault="00CF369A" w:rsidP="00CF369A">
            <w:pPr>
              <w:cnfStyle w:val="000000100000" w:firstRow="0" w:lastRow="0" w:firstColumn="0" w:lastColumn="0" w:oddVBand="0" w:evenVBand="0" w:oddHBand="1" w:evenHBand="0" w:firstRowFirstColumn="0" w:firstRowLastColumn="0" w:lastRowFirstColumn="0" w:lastRowLastColumn="0"/>
              <w:rPr>
                <w:sz w:val="20"/>
                <w:szCs w:val="20"/>
                <w:lang w:val="fr-FR"/>
              </w:rPr>
            </w:pPr>
            <w:r w:rsidRPr="00CF369A">
              <w:rPr>
                <w:sz w:val="20"/>
                <w:szCs w:val="20"/>
                <w:lang w:val="fr-FR"/>
              </w:rPr>
              <w:t>enfants blessés, tués ou enlevés.</w:t>
            </w:r>
          </w:p>
          <w:p w14:paraId="0B819C04" w14:textId="173AF5A1" w:rsidR="00140437" w:rsidRPr="00874DE4" w:rsidRDefault="00281286"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874DE4">
              <w:rPr>
                <w:sz w:val="20"/>
                <w:szCs w:val="20"/>
                <w:lang w:val="fr-FR"/>
              </w:rPr>
              <w:t xml:space="preserve"> </w:t>
            </w:r>
          </w:p>
        </w:tc>
      </w:tr>
      <w:tr w:rsidR="00140437" w:rsidRPr="005365F9" w14:paraId="58F302D6" w14:textId="77777777" w:rsidTr="00BB34F7">
        <w:tc>
          <w:tcPr>
            <w:cnfStyle w:val="001000000000" w:firstRow="0" w:lastRow="0" w:firstColumn="1" w:lastColumn="0" w:oddVBand="0" w:evenVBand="0" w:oddHBand="0" w:evenHBand="0" w:firstRowFirstColumn="0" w:firstRowLastColumn="0" w:lastRowFirstColumn="0" w:lastRowLastColumn="0"/>
            <w:tcW w:w="3586" w:type="dxa"/>
            <w:vAlign w:val="center"/>
            <w:hideMark/>
          </w:tcPr>
          <w:p w14:paraId="20CE63CF" w14:textId="0A55C5B0" w:rsidR="00CF369A" w:rsidRPr="00CF369A" w:rsidRDefault="00CF369A" w:rsidP="00CF369A">
            <w:pPr>
              <w:rPr>
                <w:b w:val="0"/>
                <w:sz w:val="20"/>
                <w:szCs w:val="20"/>
                <w:lang w:val="fr-FR"/>
              </w:rPr>
            </w:pPr>
            <w:r w:rsidRPr="00CF369A">
              <w:rPr>
                <w:b w:val="0"/>
                <w:sz w:val="20"/>
                <w:szCs w:val="20"/>
                <w:lang w:val="fr-FR"/>
              </w:rPr>
              <w:t>La sécurité sur le chemin de l’école comme obstacle à l’accès à l’éducation (fréquentation/abandon scolaire</w:t>
            </w:r>
            <w:proofErr w:type="gramStart"/>
            <w:r w:rsidRPr="00CF369A">
              <w:rPr>
                <w:b w:val="0"/>
                <w:sz w:val="20"/>
                <w:szCs w:val="20"/>
                <w:lang w:val="fr-FR"/>
              </w:rPr>
              <w:t>);</w:t>
            </w:r>
            <w:proofErr w:type="gramEnd"/>
          </w:p>
          <w:p w14:paraId="1BA5177E" w14:textId="1DDF190E" w:rsidR="00140437" w:rsidRPr="00494D35" w:rsidRDefault="00CF369A" w:rsidP="0039706A">
            <w:pPr>
              <w:rPr>
                <w:b w:val="0"/>
                <w:sz w:val="20"/>
                <w:szCs w:val="20"/>
                <w:lang w:val="fr-FR"/>
              </w:rPr>
            </w:pPr>
            <w:r w:rsidRPr="00CF369A">
              <w:rPr>
                <w:b w:val="0"/>
                <w:sz w:val="20"/>
                <w:szCs w:val="20"/>
                <w:lang w:val="fr-FR"/>
              </w:rPr>
              <w:t>A</w:t>
            </w:r>
            <w:r w:rsidR="00494D35">
              <w:rPr>
                <w:b w:val="0"/>
                <w:sz w:val="20"/>
                <w:szCs w:val="20"/>
                <w:lang w:val="fr-FR"/>
              </w:rPr>
              <w:t xml:space="preserve">ccès au transport scolaire </w:t>
            </w:r>
          </w:p>
        </w:tc>
        <w:tc>
          <w:tcPr>
            <w:tcW w:w="3586" w:type="dxa"/>
            <w:vAlign w:val="center"/>
            <w:hideMark/>
          </w:tcPr>
          <w:p w14:paraId="01E5F977" w14:textId="640C84F4" w:rsidR="00CF369A" w:rsidRPr="00CF369A" w:rsidRDefault="00CF369A"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CF369A">
              <w:rPr>
                <w:sz w:val="20"/>
                <w:szCs w:val="20"/>
                <w:lang w:val="fr-FR"/>
              </w:rPr>
              <w:t xml:space="preserve">Distance à l’école la plus </w:t>
            </w:r>
            <w:r w:rsidR="00ED297A" w:rsidRPr="00CF369A">
              <w:rPr>
                <w:sz w:val="20"/>
                <w:szCs w:val="20"/>
                <w:lang w:val="fr-FR"/>
              </w:rPr>
              <w:t>proche ;</w:t>
            </w:r>
            <w:r w:rsidRPr="00CF369A">
              <w:rPr>
                <w:sz w:val="20"/>
                <w:szCs w:val="20"/>
                <w:lang w:val="fr-FR"/>
              </w:rPr>
              <w:t xml:space="preserve"> Sécurité sur le chemin de l’école</w:t>
            </w:r>
          </w:p>
          <w:p w14:paraId="10F3F66A" w14:textId="78DDAB35" w:rsidR="00CF369A" w:rsidRPr="00234CA9" w:rsidRDefault="00CF369A"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234CA9">
              <w:rPr>
                <w:sz w:val="20"/>
                <w:szCs w:val="20"/>
                <w:lang w:val="fr-FR"/>
              </w:rPr>
              <w:t>Perception des risques par les enfants sur</w:t>
            </w:r>
            <w:r w:rsidR="00494D35" w:rsidRPr="00234CA9">
              <w:rPr>
                <w:sz w:val="20"/>
                <w:szCs w:val="20"/>
                <w:lang w:val="fr-FR"/>
              </w:rPr>
              <w:t xml:space="preserve"> le chemin</w:t>
            </w:r>
            <w:r w:rsidRPr="00234CA9">
              <w:rPr>
                <w:sz w:val="20"/>
                <w:szCs w:val="20"/>
                <w:lang w:val="fr-FR"/>
              </w:rPr>
              <w:t xml:space="preserve"> de l’école</w:t>
            </w:r>
          </w:p>
          <w:p w14:paraId="0D2ABF88" w14:textId="77777777" w:rsidR="00CF369A" w:rsidRPr="00234CA9" w:rsidRDefault="00CF369A"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p>
          <w:p w14:paraId="27830502" w14:textId="1DC26FA6" w:rsidR="00281286" w:rsidRPr="00234CA9" w:rsidRDefault="00281286"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p>
        </w:tc>
        <w:tc>
          <w:tcPr>
            <w:tcW w:w="3586" w:type="dxa"/>
            <w:vAlign w:val="center"/>
            <w:hideMark/>
          </w:tcPr>
          <w:p w14:paraId="12EA560E" w14:textId="08399B60" w:rsidR="00CF369A" w:rsidRPr="00CF369A" w:rsidRDefault="00CF369A"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CF369A">
              <w:rPr>
                <w:sz w:val="20"/>
                <w:szCs w:val="20"/>
                <w:lang w:val="fr-FR"/>
              </w:rPr>
              <w:t xml:space="preserve">Enfants à </w:t>
            </w:r>
            <w:r>
              <w:rPr>
                <w:sz w:val="20"/>
                <w:szCs w:val="20"/>
                <w:lang w:val="fr-FR"/>
              </w:rPr>
              <w:t xml:space="preserve">risque </w:t>
            </w:r>
            <w:r w:rsidRPr="00CF369A">
              <w:rPr>
                <w:sz w:val="20"/>
                <w:szCs w:val="20"/>
                <w:lang w:val="fr-FR"/>
              </w:rPr>
              <w:t xml:space="preserve">ou </w:t>
            </w:r>
            <w:r>
              <w:rPr>
                <w:sz w:val="20"/>
                <w:szCs w:val="20"/>
                <w:lang w:val="fr-FR"/>
              </w:rPr>
              <w:t>blessé</w:t>
            </w:r>
            <w:r w:rsidRPr="00CF369A">
              <w:rPr>
                <w:sz w:val="20"/>
                <w:szCs w:val="20"/>
                <w:lang w:val="fr-FR"/>
              </w:rPr>
              <w:t>s sur le chemin de l’école</w:t>
            </w:r>
          </w:p>
          <w:p w14:paraId="2842FC9B" w14:textId="77777777" w:rsidR="00CF369A" w:rsidRPr="00CF369A" w:rsidRDefault="00CF369A"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p>
          <w:p w14:paraId="641D8241" w14:textId="77777777" w:rsidR="00CF369A" w:rsidRPr="00CF369A" w:rsidRDefault="00CF369A"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p>
          <w:p w14:paraId="32127C16" w14:textId="77777777" w:rsidR="00CF369A" w:rsidRPr="00CF369A" w:rsidRDefault="00CF369A"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p>
          <w:p w14:paraId="6863D519" w14:textId="7D34BD93" w:rsidR="00140437" w:rsidRPr="00874DE4" w:rsidRDefault="00140437"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p>
        </w:tc>
      </w:tr>
      <w:tr w:rsidR="00140437" w:rsidRPr="005365F9" w14:paraId="69846947" w14:textId="77777777" w:rsidTr="00BB3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Borders>
              <w:top w:val="none" w:sz="0" w:space="0" w:color="auto"/>
              <w:left w:val="none" w:sz="0" w:space="0" w:color="auto"/>
              <w:bottom w:val="none" w:sz="0" w:space="0" w:color="auto"/>
            </w:tcBorders>
            <w:vAlign w:val="center"/>
            <w:hideMark/>
          </w:tcPr>
          <w:p w14:paraId="30B27F21" w14:textId="77777777" w:rsidR="00234CA9" w:rsidRPr="00874DE4" w:rsidRDefault="00234CA9" w:rsidP="0039706A">
            <w:pPr>
              <w:rPr>
                <w:b w:val="0"/>
                <w:sz w:val="20"/>
                <w:szCs w:val="20"/>
                <w:lang w:val="fr-FR"/>
              </w:rPr>
            </w:pPr>
          </w:p>
          <w:p w14:paraId="7DC0B503" w14:textId="335476D6" w:rsidR="00140437" w:rsidRPr="001119DF" w:rsidRDefault="00234CA9" w:rsidP="0039706A">
            <w:pPr>
              <w:rPr>
                <w:b w:val="0"/>
                <w:sz w:val="20"/>
                <w:szCs w:val="20"/>
                <w:lang w:val="fr-FR"/>
              </w:rPr>
            </w:pPr>
            <w:r w:rsidRPr="00234CA9">
              <w:rPr>
                <w:b w:val="0"/>
                <w:sz w:val="20"/>
                <w:szCs w:val="20"/>
                <w:lang w:val="fr-FR"/>
              </w:rPr>
              <w:t>La sécurité à l’école comme obstacle à l’accès à l’éducation (fréquentation/décroch</w:t>
            </w:r>
            <w:r w:rsidR="001119DF">
              <w:rPr>
                <w:b w:val="0"/>
                <w:sz w:val="20"/>
                <w:szCs w:val="20"/>
                <w:lang w:val="fr-FR"/>
              </w:rPr>
              <w:t xml:space="preserve">age) </w:t>
            </w:r>
          </w:p>
        </w:tc>
        <w:tc>
          <w:tcPr>
            <w:tcW w:w="3586" w:type="dxa"/>
            <w:tcBorders>
              <w:top w:val="none" w:sz="0" w:space="0" w:color="auto"/>
              <w:bottom w:val="none" w:sz="0" w:space="0" w:color="auto"/>
            </w:tcBorders>
            <w:vAlign w:val="center"/>
            <w:hideMark/>
          </w:tcPr>
          <w:p w14:paraId="7C9A18EA" w14:textId="717D1BFF" w:rsidR="00140437" w:rsidRPr="00234CA9" w:rsidRDefault="00234CA9"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234CA9">
              <w:rPr>
                <w:sz w:val="20"/>
                <w:szCs w:val="20"/>
                <w:lang w:val="fr-FR"/>
              </w:rPr>
              <w:t xml:space="preserve">Sécurité à </w:t>
            </w:r>
            <w:r w:rsidR="001119DF" w:rsidRPr="00234CA9">
              <w:rPr>
                <w:sz w:val="20"/>
                <w:szCs w:val="20"/>
                <w:lang w:val="fr-FR"/>
              </w:rPr>
              <w:t>l’école :</w:t>
            </w:r>
            <w:r w:rsidRPr="00234CA9">
              <w:rPr>
                <w:sz w:val="20"/>
                <w:szCs w:val="20"/>
                <w:lang w:val="fr-FR"/>
              </w:rPr>
              <w:t xml:space="preserve"> prévalence de </w:t>
            </w:r>
            <w:r w:rsidR="00140437" w:rsidRPr="00234CA9">
              <w:rPr>
                <w:sz w:val="20"/>
                <w:szCs w:val="20"/>
                <w:lang w:val="fr-FR"/>
              </w:rPr>
              <w:t>V</w:t>
            </w:r>
            <w:r w:rsidRPr="00234CA9">
              <w:rPr>
                <w:sz w:val="20"/>
                <w:szCs w:val="20"/>
                <w:lang w:val="fr-FR"/>
              </w:rPr>
              <w:t>BG, intimidation</w:t>
            </w:r>
            <w:r w:rsidR="00140437" w:rsidRPr="00234CA9">
              <w:rPr>
                <w:sz w:val="20"/>
                <w:szCs w:val="20"/>
                <w:lang w:val="fr-FR"/>
              </w:rPr>
              <w:t>, etc.</w:t>
            </w:r>
          </w:p>
          <w:p w14:paraId="64ED3C28" w14:textId="40843289" w:rsidR="00281286" w:rsidRPr="00234CA9" w:rsidRDefault="00234CA9"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234CA9">
              <w:rPr>
                <w:sz w:val="20"/>
                <w:szCs w:val="20"/>
                <w:lang w:val="fr-FR"/>
              </w:rPr>
              <w:t xml:space="preserve">Perception des enfants à </w:t>
            </w:r>
            <w:r w:rsidR="00E83401">
              <w:rPr>
                <w:sz w:val="20"/>
                <w:szCs w:val="20"/>
                <w:lang w:val="fr-FR"/>
              </w:rPr>
              <w:t>risque</w:t>
            </w:r>
            <w:r w:rsidRPr="00234CA9">
              <w:rPr>
                <w:sz w:val="20"/>
                <w:szCs w:val="20"/>
                <w:lang w:val="fr-FR"/>
              </w:rPr>
              <w:t xml:space="preserve"> </w:t>
            </w:r>
            <w:r>
              <w:rPr>
                <w:sz w:val="20"/>
                <w:szCs w:val="20"/>
                <w:lang w:val="fr-FR"/>
              </w:rPr>
              <w:t>à l’école</w:t>
            </w:r>
          </w:p>
        </w:tc>
        <w:tc>
          <w:tcPr>
            <w:tcW w:w="3586" w:type="dxa"/>
            <w:tcBorders>
              <w:top w:val="none" w:sz="0" w:space="0" w:color="auto"/>
              <w:bottom w:val="none" w:sz="0" w:space="0" w:color="auto"/>
              <w:right w:val="none" w:sz="0" w:space="0" w:color="auto"/>
            </w:tcBorders>
            <w:vAlign w:val="center"/>
            <w:hideMark/>
          </w:tcPr>
          <w:p w14:paraId="7C29C556" w14:textId="1FC3F9C7" w:rsidR="00140437" w:rsidRPr="00234CA9" w:rsidRDefault="00234CA9"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234CA9">
              <w:rPr>
                <w:sz w:val="20"/>
                <w:szCs w:val="20"/>
                <w:lang w:val="fr-FR"/>
              </w:rPr>
              <w:t xml:space="preserve">Enfants à </w:t>
            </w:r>
            <w:r>
              <w:rPr>
                <w:sz w:val="20"/>
                <w:szCs w:val="20"/>
                <w:lang w:val="fr-FR"/>
              </w:rPr>
              <w:t>risque</w:t>
            </w:r>
            <w:r w:rsidRPr="00234CA9">
              <w:rPr>
                <w:sz w:val="20"/>
                <w:szCs w:val="20"/>
                <w:lang w:val="fr-FR"/>
              </w:rPr>
              <w:t xml:space="preserve"> ou blessés à </w:t>
            </w:r>
            <w:r>
              <w:rPr>
                <w:sz w:val="20"/>
                <w:szCs w:val="20"/>
                <w:lang w:val="fr-FR"/>
              </w:rPr>
              <w:t>l’</w:t>
            </w:r>
            <w:r w:rsidRPr="00234CA9">
              <w:rPr>
                <w:sz w:val="20"/>
                <w:szCs w:val="20"/>
                <w:lang w:val="fr-FR"/>
              </w:rPr>
              <w:t>école</w:t>
            </w:r>
          </w:p>
        </w:tc>
      </w:tr>
      <w:tr w:rsidR="00140437" w:rsidRPr="00FA58EA" w14:paraId="328C8432" w14:textId="77777777" w:rsidTr="00BB34F7">
        <w:tc>
          <w:tcPr>
            <w:cnfStyle w:val="001000000000" w:firstRow="0" w:lastRow="0" w:firstColumn="1" w:lastColumn="0" w:oddVBand="0" w:evenVBand="0" w:oddHBand="0" w:evenHBand="0" w:firstRowFirstColumn="0" w:firstRowLastColumn="0" w:lastRowFirstColumn="0" w:lastRowLastColumn="0"/>
            <w:tcW w:w="3586" w:type="dxa"/>
            <w:vAlign w:val="center"/>
            <w:hideMark/>
          </w:tcPr>
          <w:p w14:paraId="17C7BE82" w14:textId="445AB15B" w:rsidR="00140437" w:rsidRPr="001119DF" w:rsidRDefault="001119DF" w:rsidP="0039706A">
            <w:pPr>
              <w:rPr>
                <w:b w:val="0"/>
                <w:sz w:val="20"/>
                <w:szCs w:val="20"/>
                <w:lang w:val="fr-FR"/>
              </w:rPr>
            </w:pPr>
            <w:r w:rsidRPr="001119DF">
              <w:rPr>
                <w:b w:val="0"/>
                <w:sz w:val="20"/>
                <w:szCs w:val="20"/>
                <w:lang w:val="fr-FR"/>
              </w:rPr>
              <w:t>Access</w:t>
            </w:r>
            <w:r>
              <w:rPr>
                <w:b w:val="0"/>
                <w:sz w:val="20"/>
                <w:szCs w:val="20"/>
                <w:lang w:val="fr-FR"/>
              </w:rPr>
              <w:t xml:space="preserve">ibilité de l’éducation au CWD </w:t>
            </w:r>
            <w:r w:rsidRPr="001119DF">
              <w:rPr>
                <w:b w:val="0"/>
                <w:sz w:val="20"/>
                <w:szCs w:val="20"/>
                <w:lang w:val="fr-FR"/>
              </w:rPr>
              <w:t>Prévalence du handicap</w:t>
            </w:r>
          </w:p>
        </w:tc>
        <w:tc>
          <w:tcPr>
            <w:tcW w:w="3586" w:type="dxa"/>
            <w:vAlign w:val="center"/>
            <w:hideMark/>
          </w:tcPr>
          <w:p w14:paraId="64E4426A" w14:textId="2BA95CD7" w:rsidR="00140437" w:rsidRPr="00FA58EA" w:rsidRDefault="001119DF" w:rsidP="0039706A">
            <w:pPr>
              <w:cnfStyle w:val="000000000000" w:firstRow="0" w:lastRow="0" w:firstColumn="0" w:lastColumn="0" w:oddVBand="0" w:evenVBand="0" w:oddHBand="0" w:evenHBand="0" w:firstRowFirstColumn="0" w:firstRowLastColumn="0" w:lastRowFirstColumn="0" w:lastRowLastColumn="0"/>
              <w:rPr>
                <w:sz w:val="20"/>
                <w:szCs w:val="20"/>
                <w:lang w:val="en-GB"/>
              </w:rPr>
            </w:pPr>
            <w:r>
              <w:rPr>
                <w:sz w:val="20"/>
                <w:szCs w:val="20"/>
                <w:lang w:val="en-GB"/>
              </w:rPr>
              <w:t xml:space="preserve">Prévalence de l’handicap </w:t>
            </w:r>
          </w:p>
        </w:tc>
        <w:tc>
          <w:tcPr>
            <w:tcW w:w="3586" w:type="dxa"/>
            <w:vAlign w:val="center"/>
          </w:tcPr>
          <w:p w14:paraId="23D4B766" w14:textId="77777777" w:rsidR="00140437" w:rsidRPr="00FA58EA" w:rsidRDefault="00140437" w:rsidP="0039706A">
            <w:pPr>
              <w:cnfStyle w:val="000000000000" w:firstRow="0" w:lastRow="0" w:firstColumn="0" w:lastColumn="0" w:oddVBand="0" w:evenVBand="0" w:oddHBand="0" w:evenHBand="0" w:firstRowFirstColumn="0" w:firstRowLastColumn="0" w:lastRowFirstColumn="0" w:lastRowLastColumn="0"/>
              <w:rPr>
                <w:sz w:val="20"/>
                <w:szCs w:val="20"/>
                <w:lang w:val="en-GB"/>
              </w:rPr>
            </w:pPr>
          </w:p>
        </w:tc>
      </w:tr>
      <w:tr w:rsidR="00140437" w:rsidRPr="005365F9" w14:paraId="3E47CA17" w14:textId="77777777" w:rsidTr="00BB3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Borders>
              <w:top w:val="none" w:sz="0" w:space="0" w:color="auto"/>
              <w:left w:val="none" w:sz="0" w:space="0" w:color="auto"/>
              <w:bottom w:val="none" w:sz="0" w:space="0" w:color="auto"/>
            </w:tcBorders>
            <w:vAlign w:val="center"/>
            <w:hideMark/>
          </w:tcPr>
          <w:p w14:paraId="53B83839" w14:textId="6ADA28E8" w:rsidR="00140437" w:rsidRPr="001119DF" w:rsidRDefault="001119DF" w:rsidP="0039706A">
            <w:pPr>
              <w:rPr>
                <w:b w:val="0"/>
                <w:sz w:val="20"/>
                <w:szCs w:val="20"/>
                <w:lang w:val="fr-FR"/>
              </w:rPr>
            </w:pPr>
            <w:r w:rsidRPr="001119DF">
              <w:rPr>
                <w:b w:val="0"/>
                <w:sz w:val="20"/>
                <w:szCs w:val="20"/>
                <w:lang w:val="fr-FR"/>
              </w:rPr>
              <w:t>Impact du MH/ bien-être psychosocial sur la fréquentation scolaire et les résul</w:t>
            </w:r>
            <w:r>
              <w:rPr>
                <w:b w:val="0"/>
                <w:sz w:val="20"/>
                <w:szCs w:val="20"/>
                <w:lang w:val="fr-FR"/>
              </w:rPr>
              <w:t xml:space="preserve">tats d’apprentissage </w:t>
            </w:r>
          </w:p>
        </w:tc>
        <w:tc>
          <w:tcPr>
            <w:tcW w:w="3586" w:type="dxa"/>
            <w:tcBorders>
              <w:top w:val="none" w:sz="0" w:space="0" w:color="auto"/>
              <w:bottom w:val="none" w:sz="0" w:space="0" w:color="auto"/>
            </w:tcBorders>
            <w:vAlign w:val="center"/>
            <w:hideMark/>
          </w:tcPr>
          <w:p w14:paraId="5D51B62D" w14:textId="35A36FCB" w:rsidR="00140437" w:rsidRPr="001119DF" w:rsidRDefault="001119DF"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1119DF">
              <w:rPr>
                <w:bCs/>
                <w:sz w:val="20"/>
                <w:szCs w:val="20"/>
                <w:lang w:val="fr-FR"/>
              </w:rPr>
              <w:t>Prévalence des besoins</w:t>
            </w:r>
            <w:r w:rsidR="00140437" w:rsidRPr="001119DF">
              <w:rPr>
                <w:bCs/>
                <w:sz w:val="20"/>
                <w:szCs w:val="20"/>
                <w:lang w:val="fr-FR"/>
              </w:rPr>
              <w:t xml:space="preserve"> </w:t>
            </w:r>
            <w:r w:rsidR="00140437" w:rsidRPr="001119DF">
              <w:rPr>
                <w:bCs/>
                <w:i/>
                <w:sz w:val="20"/>
                <w:szCs w:val="20"/>
                <w:lang w:val="fr-FR"/>
              </w:rPr>
              <w:t>MHPSS</w:t>
            </w:r>
            <w:r w:rsidR="00140437" w:rsidRPr="001119DF">
              <w:rPr>
                <w:bCs/>
                <w:sz w:val="20"/>
                <w:szCs w:val="20"/>
                <w:lang w:val="fr-FR"/>
              </w:rPr>
              <w:t xml:space="preserve"> </w:t>
            </w:r>
            <w:r w:rsidRPr="001119DF">
              <w:rPr>
                <w:bCs/>
                <w:sz w:val="20"/>
                <w:szCs w:val="20"/>
                <w:lang w:val="fr-FR"/>
              </w:rPr>
              <w:t xml:space="preserve">parmi les enfants </w:t>
            </w:r>
          </w:p>
        </w:tc>
        <w:tc>
          <w:tcPr>
            <w:tcW w:w="3586" w:type="dxa"/>
            <w:tcBorders>
              <w:top w:val="none" w:sz="0" w:space="0" w:color="auto"/>
              <w:bottom w:val="none" w:sz="0" w:space="0" w:color="auto"/>
              <w:right w:val="none" w:sz="0" w:space="0" w:color="auto"/>
            </w:tcBorders>
            <w:vAlign w:val="center"/>
          </w:tcPr>
          <w:p w14:paraId="22C6C387" w14:textId="77777777" w:rsidR="00140437" w:rsidRPr="001119DF" w:rsidRDefault="00140437"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p>
        </w:tc>
      </w:tr>
      <w:tr w:rsidR="00140437" w:rsidRPr="005365F9" w14:paraId="00A24E60" w14:textId="77777777" w:rsidTr="00BB34F7">
        <w:tc>
          <w:tcPr>
            <w:cnfStyle w:val="001000000000" w:firstRow="0" w:lastRow="0" w:firstColumn="1" w:lastColumn="0" w:oddVBand="0" w:evenVBand="0" w:oddHBand="0" w:evenHBand="0" w:firstRowFirstColumn="0" w:firstRowLastColumn="0" w:lastRowFirstColumn="0" w:lastRowLastColumn="0"/>
            <w:tcW w:w="3586" w:type="dxa"/>
            <w:vAlign w:val="center"/>
            <w:hideMark/>
          </w:tcPr>
          <w:p w14:paraId="6320A919" w14:textId="07B5BABF" w:rsidR="00140437" w:rsidRPr="00763B13" w:rsidRDefault="00E80E15" w:rsidP="0039706A">
            <w:pPr>
              <w:rPr>
                <w:b w:val="0"/>
                <w:sz w:val="20"/>
                <w:szCs w:val="20"/>
                <w:lang w:val="fr-FR"/>
              </w:rPr>
            </w:pPr>
            <w:r w:rsidRPr="00E80E15">
              <w:rPr>
                <w:b w:val="0"/>
                <w:sz w:val="20"/>
                <w:szCs w:val="20"/>
                <w:lang w:val="fr-FR"/>
              </w:rPr>
              <w:t>Mécanismes d’adaptation négatifs aff</w:t>
            </w:r>
            <w:r w:rsidR="00763B13">
              <w:rPr>
                <w:b w:val="0"/>
                <w:sz w:val="20"/>
                <w:szCs w:val="20"/>
                <w:lang w:val="fr-FR"/>
              </w:rPr>
              <w:t>ectant l’éducation des enfants</w:t>
            </w:r>
          </w:p>
        </w:tc>
        <w:tc>
          <w:tcPr>
            <w:tcW w:w="3586" w:type="dxa"/>
            <w:vAlign w:val="center"/>
            <w:hideMark/>
          </w:tcPr>
          <w:p w14:paraId="77040EA1" w14:textId="3B43075E" w:rsidR="00140437" w:rsidRPr="00E80E15" w:rsidRDefault="00E80E15"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E80E15">
              <w:rPr>
                <w:sz w:val="20"/>
                <w:szCs w:val="20"/>
                <w:lang w:val="fr-FR"/>
              </w:rPr>
              <w:t xml:space="preserve">Situations économique </w:t>
            </w:r>
            <w:r w:rsidR="00763B13" w:rsidRPr="00E80E15">
              <w:rPr>
                <w:sz w:val="20"/>
                <w:szCs w:val="20"/>
                <w:lang w:val="fr-FR"/>
              </w:rPr>
              <w:t>Familiale ;</w:t>
            </w:r>
            <w:r w:rsidR="00140437" w:rsidRPr="00E80E15">
              <w:rPr>
                <w:sz w:val="20"/>
                <w:szCs w:val="20"/>
                <w:lang w:val="fr-FR"/>
              </w:rPr>
              <w:t xml:space="preserve"> </w:t>
            </w:r>
          </w:p>
          <w:p w14:paraId="71B21B90" w14:textId="57F812AA" w:rsidR="00140437" w:rsidRPr="00763B13" w:rsidRDefault="00763B13"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763B13">
              <w:rPr>
                <w:sz w:val="20"/>
                <w:szCs w:val="20"/>
                <w:lang w:val="fr-FR"/>
              </w:rPr>
              <w:t xml:space="preserve">Accès aux programmes d’alimentation scolaires </w:t>
            </w:r>
          </w:p>
        </w:tc>
        <w:tc>
          <w:tcPr>
            <w:tcW w:w="3586" w:type="dxa"/>
            <w:vAlign w:val="center"/>
            <w:hideMark/>
          </w:tcPr>
          <w:p w14:paraId="58D864DD" w14:textId="2CF5C4C6" w:rsidR="00140437" w:rsidRPr="00763B13" w:rsidRDefault="00763B13"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763B13">
              <w:rPr>
                <w:sz w:val="20"/>
                <w:szCs w:val="20"/>
                <w:lang w:val="fr-FR"/>
              </w:rPr>
              <w:t>Mécanismes d’adaptation familiaux négatifs affectant les enfants</w:t>
            </w:r>
          </w:p>
        </w:tc>
      </w:tr>
      <w:tr w:rsidR="00140437" w:rsidRPr="005365F9" w14:paraId="4E0C1DEC" w14:textId="77777777" w:rsidTr="00BB3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Borders>
              <w:top w:val="none" w:sz="0" w:space="0" w:color="auto"/>
              <w:left w:val="none" w:sz="0" w:space="0" w:color="auto"/>
              <w:bottom w:val="none" w:sz="0" w:space="0" w:color="auto"/>
            </w:tcBorders>
            <w:vAlign w:val="center"/>
            <w:hideMark/>
          </w:tcPr>
          <w:p w14:paraId="6DA5756A" w14:textId="53C5504A" w:rsidR="00140437" w:rsidRPr="00763B13" w:rsidRDefault="00763B13" w:rsidP="0039706A">
            <w:pPr>
              <w:rPr>
                <w:b w:val="0"/>
                <w:sz w:val="20"/>
                <w:szCs w:val="20"/>
                <w:lang w:val="fr-FR"/>
              </w:rPr>
            </w:pPr>
            <w:r>
              <w:rPr>
                <w:b w:val="0"/>
                <w:sz w:val="20"/>
                <w:szCs w:val="20"/>
                <w:lang w:val="fr-FR"/>
              </w:rPr>
              <w:t>Obstacles à la documentation pour</w:t>
            </w:r>
            <w:r w:rsidRPr="00763B13">
              <w:rPr>
                <w:b w:val="0"/>
                <w:sz w:val="20"/>
                <w:szCs w:val="20"/>
                <w:lang w:val="fr-FR"/>
              </w:rPr>
              <w:t xml:space="preserve"> l’accès à l’éducation</w:t>
            </w:r>
          </w:p>
        </w:tc>
        <w:tc>
          <w:tcPr>
            <w:tcW w:w="3586" w:type="dxa"/>
            <w:tcBorders>
              <w:top w:val="none" w:sz="0" w:space="0" w:color="auto"/>
              <w:bottom w:val="none" w:sz="0" w:space="0" w:color="auto"/>
            </w:tcBorders>
            <w:vAlign w:val="center"/>
            <w:hideMark/>
          </w:tcPr>
          <w:p w14:paraId="7F965AB7" w14:textId="36A56D56" w:rsidR="00140437" w:rsidRPr="00763B13" w:rsidRDefault="00763B13"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763B13">
              <w:rPr>
                <w:sz w:val="20"/>
                <w:szCs w:val="20"/>
                <w:lang w:val="fr-FR"/>
              </w:rPr>
              <w:t xml:space="preserve">Nombre ou profil d’enfants sans documentation </w:t>
            </w:r>
          </w:p>
        </w:tc>
        <w:tc>
          <w:tcPr>
            <w:tcW w:w="3586" w:type="dxa"/>
            <w:tcBorders>
              <w:top w:val="none" w:sz="0" w:space="0" w:color="auto"/>
              <w:bottom w:val="none" w:sz="0" w:space="0" w:color="auto"/>
              <w:right w:val="none" w:sz="0" w:space="0" w:color="auto"/>
            </w:tcBorders>
            <w:vAlign w:val="center"/>
            <w:hideMark/>
          </w:tcPr>
          <w:p w14:paraId="462329EC" w14:textId="58502151" w:rsidR="00140437" w:rsidRPr="00763B13" w:rsidRDefault="00763B13" w:rsidP="0039706A">
            <w:pPr>
              <w:cnfStyle w:val="000000100000" w:firstRow="0" w:lastRow="0" w:firstColumn="0" w:lastColumn="0" w:oddVBand="0" w:evenVBand="0" w:oddHBand="1" w:evenHBand="0" w:firstRowFirstColumn="0" w:firstRowLastColumn="0" w:lastRowFirstColumn="0" w:lastRowLastColumn="0"/>
              <w:rPr>
                <w:sz w:val="20"/>
                <w:szCs w:val="20"/>
                <w:lang w:val="fr-FR"/>
              </w:rPr>
            </w:pPr>
            <w:r w:rsidRPr="00763B13">
              <w:rPr>
                <w:sz w:val="20"/>
                <w:szCs w:val="20"/>
                <w:lang w:val="fr-FR"/>
              </w:rPr>
              <w:t xml:space="preserve">Obstacles à la documentation </w:t>
            </w:r>
            <w:r>
              <w:rPr>
                <w:sz w:val="20"/>
                <w:szCs w:val="20"/>
                <w:lang w:val="fr-FR"/>
              </w:rPr>
              <w:t>pour</w:t>
            </w:r>
            <w:r w:rsidRPr="00763B13">
              <w:rPr>
                <w:sz w:val="20"/>
                <w:szCs w:val="20"/>
                <w:lang w:val="fr-FR"/>
              </w:rPr>
              <w:t xml:space="preserve"> l’accès aux services</w:t>
            </w:r>
          </w:p>
        </w:tc>
      </w:tr>
      <w:tr w:rsidR="00140437" w:rsidRPr="005365F9" w14:paraId="52E5EC5A" w14:textId="77777777" w:rsidTr="00BB34F7">
        <w:tc>
          <w:tcPr>
            <w:cnfStyle w:val="001000000000" w:firstRow="0" w:lastRow="0" w:firstColumn="1" w:lastColumn="0" w:oddVBand="0" w:evenVBand="0" w:oddHBand="0" w:evenHBand="0" w:firstRowFirstColumn="0" w:firstRowLastColumn="0" w:lastRowFirstColumn="0" w:lastRowLastColumn="0"/>
            <w:tcW w:w="3586" w:type="dxa"/>
            <w:vAlign w:val="center"/>
            <w:hideMark/>
          </w:tcPr>
          <w:p w14:paraId="41E4C2BF" w14:textId="13C7D498" w:rsidR="00140437" w:rsidRPr="00B66035" w:rsidRDefault="00B66035" w:rsidP="0039706A">
            <w:pPr>
              <w:rPr>
                <w:b w:val="0"/>
                <w:sz w:val="20"/>
                <w:szCs w:val="20"/>
                <w:lang w:val="fr-FR"/>
              </w:rPr>
            </w:pPr>
            <w:r w:rsidRPr="00B66035">
              <w:rPr>
                <w:b w:val="0"/>
                <w:sz w:val="20"/>
                <w:szCs w:val="20"/>
                <w:lang w:val="fr-FR"/>
              </w:rPr>
              <w:t xml:space="preserve">Nombre de renvois à la main-d’œuvre sociale du </w:t>
            </w:r>
            <w:r w:rsidR="00385B9E">
              <w:rPr>
                <w:b w:val="0"/>
                <w:sz w:val="20"/>
                <w:szCs w:val="20"/>
                <w:lang w:val="fr-FR"/>
              </w:rPr>
              <w:t>PE</w:t>
            </w:r>
            <w:r w:rsidRPr="00B66035">
              <w:rPr>
                <w:b w:val="0"/>
                <w:sz w:val="20"/>
                <w:szCs w:val="20"/>
                <w:lang w:val="fr-FR"/>
              </w:rPr>
              <w:t xml:space="preserve"> </w:t>
            </w:r>
            <w:r>
              <w:rPr>
                <w:b w:val="0"/>
                <w:sz w:val="20"/>
                <w:szCs w:val="20"/>
                <w:lang w:val="fr-FR"/>
              </w:rPr>
              <w:t xml:space="preserve"> </w:t>
            </w:r>
          </w:p>
        </w:tc>
        <w:tc>
          <w:tcPr>
            <w:tcW w:w="3586" w:type="dxa"/>
            <w:vAlign w:val="center"/>
            <w:hideMark/>
          </w:tcPr>
          <w:p w14:paraId="000FF554" w14:textId="36DE82D3" w:rsidR="00140437" w:rsidRPr="00B66035" w:rsidRDefault="00B66035"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B66035">
              <w:rPr>
                <w:sz w:val="20"/>
                <w:szCs w:val="20"/>
                <w:lang w:val="fr-FR"/>
              </w:rPr>
              <w:t>Nombre de renvoies reçus de la main-d’œuvre de l’</w:t>
            </w:r>
            <w:r>
              <w:rPr>
                <w:sz w:val="20"/>
                <w:szCs w:val="20"/>
                <w:lang w:val="fr-FR"/>
              </w:rPr>
              <w:t>EDU</w:t>
            </w:r>
            <w:r w:rsidRPr="00B66035">
              <w:rPr>
                <w:sz w:val="20"/>
                <w:szCs w:val="20"/>
                <w:lang w:val="fr-FR"/>
              </w:rPr>
              <w:t xml:space="preserve"> pour Examen ou triage </w:t>
            </w:r>
          </w:p>
        </w:tc>
        <w:tc>
          <w:tcPr>
            <w:tcW w:w="3586" w:type="dxa"/>
            <w:vAlign w:val="center"/>
            <w:hideMark/>
          </w:tcPr>
          <w:p w14:paraId="7F43461E" w14:textId="171DFC5B" w:rsidR="00140437" w:rsidRPr="00B66035" w:rsidRDefault="00B66035" w:rsidP="0039706A">
            <w:pPr>
              <w:cnfStyle w:val="000000000000" w:firstRow="0" w:lastRow="0" w:firstColumn="0" w:lastColumn="0" w:oddVBand="0" w:evenVBand="0" w:oddHBand="0" w:evenHBand="0" w:firstRowFirstColumn="0" w:firstRowLastColumn="0" w:lastRowFirstColumn="0" w:lastRowLastColumn="0"/>
              <w:rPr>
                <w:sz w:val="20"/>
                <w:szCs w:val="20"/>
                <w:lang w:val="fr-FR"/>
              </w:rPr>
            </w:pPr>
            <w:r w:rsidRPr="00B66035">
              <w:rPr>
                <w:sz w:val="20"/>
                <w:szCs w:val="20"/>
                <w:lang w:val="fr-FR"/>
              </w:rPr>
              <w:t xml:space="preserve">Nombre de renvoies reçus de la main-d’œuvre de l’EDU qui étaient des cas réels de </w:t>
            </w:r>
            <w:r w:rsidR="00385B9E">
              <w:rPr>
                <w:sz w:val="20"/>
                <w:szCs w:val="20"/>
                <w:lang w:val="fr-FR"/>
              </w:rPr>
              <w:t>PE</w:t>
            </w:r>
            <w:r>
              <w:rPr>
                <w:sz w:val="20"/>
                <w:szCs w:val="20"/>
                <w:lang w:val="fr-FR"/>
              </w:rPr>
              <w:t xml:space="preserve"> ayant besoin d’une gestion de cas</w:t>
            </w:r>
          </w:p>
        </w:tc>
      </w:tr>
      <w:tr w:rsidR="000B6DBE" w:rsidRPr="005365F9" w14:paraId="3A38A111" w14:textId="77777777" w:rsidTr="00BB34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86" w:type="dxa"/>
            <w:tcBorders>
              <w:top w:val="none" w:sz="0" w:space="0" w:color="auto"/>
              <w:left w:val="none" w:sz="0" w:space="0" w:color="auto"/>
              <w:bottom w:val="none" w:sz="0" w:space="0" w:color="auto"/>
            </w:tcBorders>
            <w:vAlign w:val="center"/>
          </w:tcPr>
          <w:p w14:paraId="0B54F304" w14:textId="77777777" w:rsidR="00B66035" w:rsidRPr="00B66035" w:rsidRDefault="00B66035" w:rsidP="00B66035">
            <w:pPr>
              <w:rPr>
                <w:b w:val="0"/>
                <w:bCs w:val="0"/>
                <w:sz w:val="20"/>
                <w:szCs w:val="20"/>
                <w:lang w:val="fr-FR"/>
              </w:rPr>
            </w:pPr>
            <w:r w:rsidRPr="00B66035">
              <w:rPr>
                <w:b w:val="0"/>
                <w:bCs w:val="0"/>
                <w:sz w:val="20"/>
                <w:szCs w:val="20"/>
                <w:lang w:val="fr-FR"/>
              </w:rPr>
              <w:t xml:space="preserve">L’expérience des enfants de l’impact de la crise sur leur éducation </w:t>
            </w:r>
          </w:p>
          <w:p w14:paraId="54FB9AD2" w14:textId="77777777" w:rsidR="00B66035" w:rsidRPr="00B66035" w:rsidRDefault="00B66035" w:rsidP="00B66035">
            <w:pPr>
              <w:rPr>
                <w:b w:val="0"/>
                <w:bCs w:val="0"/>
                <w:sz w:val="20"/>
                <w:szCs w:val="20"/>
                <w:lang w:val="fr-FR"/>
              </w:rPr>
            </w:pPr>
            <w:r w:rsidRPr="00B66035">
              <w:rPr>
                <w:b w:val="0"/>
                <w:bCs w:val="0"/>
                <w:sz w:val="20"/>
                <w:szCs w:val="20"/>
                <w:lang w:val="fr-FR"/>
              </w:rPr>
              <w:t xml:space="preserve">Les attentes et les espoirs des enfants liés à l’apprentissage dans le contexte de crise </w:t>
            </w:r>
          </w:p>
          <w:p w14:paraId="0B1DE4ED" w14:textId="2A2B2E53" w:rsidR="00B66035" w:rsidRPr="00B66035" w:rsidRDefault="00B66035" w:rsidP="003937D3">
            <w:pPr>
              <w:rPr>
                <w:b w:val="0"/>
                <w:bCs w:val="0"/>
                <w:sz w:val="20"/>
                <w:szCs w:val="20"/>
                <w:lang w:val="fr-FR"/>
              </w:rPr>
            </w:pPr>
            <w:r w:rsidRPr="00B66035">
              <w:rPr>
                <w:b w:val="0"/>
                <w:bCs w:val="0"/>
                <w:sz w:val="20"/>
                <w:szCs w:val="20"/>
                <w:lang w:val="fr-FR"/>
              </w:rPr>
              <w:tab/>
            </w:r>
          </w:p>
          <w:p w14:paraId="0D6E8320" w14:textId="77777777" w:rsidR="00B66035" w:rsidRPr="00B66035" w:rsidRDefault="00B66035" w:rsidP="000B6DBE">
            <w:pPr>
              <w:spacing w:after="160"/>
              <w:rPr>
                <w:b w:val="0"/>
                <w:bCs w:val="0"/>
                <w:sz w:val="20"/>
                <w:szCs w:val="20"/>
                <w:lang w:val="fr-FR"/>
              </w:rPr>
            </w:pPr>
          </w:p>
          <w:p w14:paraId="6C200E51" w14:textId="77777777" w:rsidR="00B66035" w:rsidRPr="00B66035" w:rsidRDefault="00B66035" w:rsidP="000B6DBE">
            <w:pPr>
              <w:spacing w:after="160"/>
              <w:rPr>
                <w:b w:val="0"/>
                <w:bCs w:val="0"/>
                <w:sz w:val="20"/>
                <w:szCs w:val="20"/>
                <w:lang w:val="fr-FR"/>
              </w:rPr>
            </w:pPr>
          </w:p>
          <w:p w14:paraId="2E9AF704" w14:textId="77777777" w:rsidR="00B66035" w:rsidRPr="00B66035" w:rsidRDefault="00B66035" w:rsidP="000B6DBE">
            <w:pPr>
              <w:spacing w:after="160"/>
              <w:rPr>
                <w:b w:val="0"/>
                <w:bCs w:val="0"/>
                <w:sz w:val="20"/>
                <w:szCs w:val="20"/>
                <w:lang w:val="fr-FR"/>
              </w:rPr>
            </w:pPr>
          </w:p>
          <w:p w14:paraId="1AB4B4FC" w14:textId="75AEC6F1" w:rsidR="000B6DBE" w:rsidRPr="00874DE4" w:rsidRDefault="000B6DBE" w:rsidP="003937D3">
            <w:pPr>
              <w:rPr>
                <w:b w:val="0"/>
                <w:sz w:val="20"/>
                <w:szCs w:val="20"/>
                <w:lang w:val="fr-FR"/>
              </w:rPr>
            </w:pPr>
          </w:p>
        </w:tc>
        <w:tc>
          <w:tcPr>
            <w:tcW w:w="3586" w:type="dxa"/>
            <w:tcBorders>
              <w:top w:val="none" w:sz="0" w:space="0" w:color="auto"/>
              <w:bottom w:val="none" w:sz="0" w:space="0" w:color="auto"/>
            </w:tcBorders>
            <w:vAlign w:val="center"/>
          </w:tcPr>
          <w:p w14:paraId="67E85FE3" w14:textId="0EA30043" w:rsidR="00BF6B57" w:rsidRPr="00B66035" w:rsidRDefault="00B66035" w:rsidP="00BF6B57">
            <w:pPr>
              <w:jc w:val="center"/>
              <w:cnfStyle w:val="000000100000" w:firstRow="0" w:lastRow="0" w:firstColumn="0" w:lastColumn="0" w:oddVBand="0" w:evenVBand="0" w:oddHBand="1" w:evenHBand="0" w:firstRowFirstColumn="0" w:firstRowLastColumn="0" w:lastRowFirstColumn="0" w:lastRowLastColumn="0"/>
              <w:rPr>
                <w:b/>
                <w:bCs/>
                <w:sz w:val="20"/>
                <w:szCs w:val="20"/>
                <w:lang w:val="fr-FR"/>
              </w:rPr>
            </w:pPr>
            <w:r w:rsidRPr="00B66035">
              <w:rPr>
                <w:b/>
                <w:bCs/>
                <w:sz w:val="20"/>
                <w:szCs w:val="20"/>
                <w:lang w:val="fr-FR"/>
              </w:rPr>
              <w:t>Participation des Enfants</w:t>
            </w:r>
          </w:p>
          <w:p w14:paraId="4208E7A8" w14:textId="77777777" w:rsidR="00B66035" w:rsidRPr="00B66035" w:rsidRDefault="00B66035" w:rsidP="00B66035">
            <w:pPr>
              <w:cnfStyle w:val="000000100000" w:firstRow="0" w:lastRow="0" w:firstColumn="0" w:lastColumn="0" w:oddVBand="0" w:evenVBand="0" w:oddHBand="1" w:evenHBand="0" w:firstRowFirstColumn="0" w:firstRowLastColumn="0" w:lastRowFirstColumn="0" w:lastRowLastColumn="0"/>
              <w:rPr>
                <w:sz w:val="20"/>
                <w:szCs w:val="20"/>
                <w:lang w:val="fr-FR"/>
              </w:rPr>
            </w:pPr>
            <w:r w:rsidRPr="00B66035">
              <w:rPr>
                <w:sz w:val="20"/>
                <w:szCs w:val="20"/>
                <w:lang w:val="fr-FR"/>
              </w:rPr>
              <w:t xml:space="preserve">Sensibilisation des enfants aux capacités et aux ressources disponibles au sein de leur communauté pour soutenir leur apprentissage et leur bien-être </w:t>
            </w:r>
          </w:p>
          <w:p w14:paraId="5FD1EAA0" w14:textId="77777777" w:rsidR="003937D3" w:rsidRDefault="003937D3" w:rsidP="000B6DBE">
            <w:pPr>
              <w:cnfStyle w:val="000000100000" w:firstRow="0" w:lastRow="0" w:firstColumn="0" w:lastColumn="0" w:oddVBand="0" w:evenVBand="0" w:oddHBand="1" w:evenHBand="0" w:firstRowFirstColumn="0" w:firstRowLastColumn="0" w:lastRowFirstColumn="0" w:lastRowLastColumn="0"/>
              <w:rPr>
                <w:sz w:val="20"/>
                <w:szCs w:val="20"/>
                <w:lang w:val="fr-FR"/>
              </w:rPr>
            </w:pPr>
          </w:p>
          <w:p w14:paraId="074FD2F8" w14:textId="4A635573" w:rsidR="003937D3" w:rsidRPr="003937D3" w:rsidRDefault="003937D3" w:rsidP="000B6DBE">
            <w:pPr>
              <w:cnfStyle w:val="000000100000" w:firstRow="0" w:lastRow="0" w:firstColumn="0" w:lastColumn="0" w:oddVBand="0" w:evenVBand="0" w:oddHBand="1" w:evenHBand="0" w:firstRowFirstColumn="0" w:firstRowLastColumn="0" w:lastRowFirstColumn="0" w:lastRowLastColumn="0"/>
              <w:rPr>
                <w:sz w:val="20"/>
                <w:szCs w:val="20"/>
                <w:lang w:val="fr-FR"/>
              </w:rPr>
            </w:pPr>
            <w:r w:rsidRPr="00B66035">
              <w:rPr>
                <w:sz w:val="20"/>
                <w:szCs w:val="20"/>
                <w:lang w:val="fr-FR"/>
              </w:rPr>
              <w:t>Les idées des enfants sur la conception de mécanismes de rétroaction coordonnés ou d’autres mesures de responsabilisation</w:t>
            </w:r>
          </w:p>
          <w:p w14:paraId="218FEF41" w14:textId="776CF620" w:rsidR="000B6DBE" w:rsidRPr="00874DE4" w:rsidRDefault="000B6DBE" w:rsidP="000B6DBE">
            <w:pPr>
              <w:cnfStyle w:val="000000100000" w:firstRow="0" w:lastRow="0" w:firstColumn="0" w:lastColumn="0" w:oddVBand="0" w:evenVBand="0" w:oddHBand="1" w:evenHBand="0" w:firstRowFirstColumn="0" w:firstRowLastColumn="0" w:lastRowFirstColumn="0" w:lastRowLastColumn="0"/>
              <w:rPr>
                <w:b/>
                <w:bCs/>
                <w:sz w:val="20"/>
                <w:szCs w:val="20"/>
                <w:lang w:val="fr-FR"/>
              </w:rPr>
            </w:pPr>
          </w:p>
        </w:tc>
        <w:tc>
          <w:tcPr>
            <w:tcW w:w="3586" w:type="dxa"/>
            <w:tcBorders>
              <w:top w:val="none" w:sz="0" w:space="0" w:color="auto"/>
              <w:bottom w:val="none" w:sz="0" w:space="0" w:color="auto"/>
              <w:right w:val="none" w:sz="0" w:space="0" w:color="auto"/>
            </w:tcBorders>
            <w:vAlign w:val="center"/>
          </w:tcPr>
          <w:p w14:paraId="2A285636" w14:textId="77777777" w:rsidR="003937D3" w:rsidRPr="003937D3" w:rsidRDefault="003937D3" w:rsidP="003937D3">
            <w:pPr>
              <w:spacing w:before="240"/>
              <w:cnfStyle w:val="000000100000" w:firstRow="0" w:lastRow="0" w:firstColumn="0" w:lastColumn="0" w:oddVBand="0" w:evenVBand="0" w:oddHBand="1" w:evenHBand="0" w:firstRowFirstColumn="0" w:firstRowLastColumn="0" w:lastRowFirstColumn="0" w:lastRowLastColumn="0"/>
              <w:rPr>
                <w:sz w:val="20"/>
                <w:szCs w:val="20"/>
                <w:lang w:val="fr-FR"/>
              </w:rPr>
            </w:pPr>
            <w:r w:rsidRPr="003937D3">
              <w:rPr>
                <w:sz w:val="20"/>
                <w:szCs w:val="20"/>
                <w:lang w:val="fr-FR"/>
              </w:rPr>
              <w:t xml:space="preserve">L’expérience des enfants de l’impact de la crise sur leur protection et leur bien-être </w:t>
            </w:r>
          </w:p>
          <w:p w14:paraId="623A3C60" w14:textId="77777777" w:rsidR="003937D3" w:rsidRDefault="003937D3" w:rsidP="003937D3">
            <w:pPr>
              <w:spacing w:before="240" w:after="160"/>
              <w:cnfStyle w:val="000000100000" w:firstRow="0" w:lastRow="0" w:firstColumn="0" w:lastColumn="0" w:oddVBand="0" w:evenVBand="0" w:oddHBand="1" w:evenHBand="0" w:firstRowFirstColumn="0" w:firstRowLastColumn="0" w:lastRowFirstColumn="0" w:lastRowLastColumn="0"/>
              <w:rPr>
                <w:sz w:val="20"/>
                <w:szCs w:val="20"/>
                <w:lang w:val="fr-FR"/>
              </w:rPr>
            </w:pPr>
            <w:r w:rsidRPr="003937D3">
              <w:rPr>
                <w:sz w:val="20"/>
                <w:szCs w:val="20"/>
                <w:lang w:val="fr-FR"/>
              </w:rPr>
              <w:t>Les attentes et les espoirs des enfants en matière de protection et de bien-être dans le contexte de crise</w:t>
            </w:r>
            <w:r>
              <w:rPr>
                <w:sz w:val="20"/>
                <w:szCs w:val="20"/>
                <w:lang w:val="fr-FR"/>
              </w:rPr>
              <w:t xml:space="preserve">     </w:t>
            </w:r>
          </w:p>
          <w:p w14:paraId="29DA63EF" w14:textId="77777777" w:rsidR="000B6DBE" w:rsidRPr="00874DE4" w:rsidRDefault="000B6DBE" w:rsidP="003937D3">
            <w:pPr>
              <w:cnfStyle w:val="000000100000" w:firstRow="0" w:lastRow="0" w:firstColumn="0" w:lastColumn="0" w:oddVBand="0" w:evenVBand="0" w:oddHBand="1" w:evenHBand="0" w:firstRowFirstColumn="0" w:firstRowLastColumn="0" w:lastRowFirstColumn="0" w:lastRowLastColumn="0"/>
              <w:rPr>
                <w:sz w:val="20"/>
                <w:szCs w:val="20"/>
                <w:lang w:val="fr-FR"/>
              </w:rPr>
            </w:pPr>
          </w:p>
        </w:tc>
      </w:tr>
    </w:tbl>
    <w:p w14:paraId="6DAB68F6" w14:textId="0C27D500" w:rsidR="003937D3" w:rsidRPr="003937D3" w:rsidRDefault="00140437" w:rsidP="00140437">
      <w:pPr>
        <w:spacing w:after="0" w:line="240" w:lineRule="auto"/>
        <w:rPr>
          <w:rFonts w:ascii="Calibri" w:eastAsia="Calibri" w:hAnsi="Calibri" w:cs="Calibri"/>
          <w:sz w:val="20"/>
          <w:szCs w:val="20"/>
          <w:lang w:val="fr-FR"/>
        </w:rPr>
      </w:pPr>
      <w:r w:rsidRPr="003937D3">
        <w:rPr>
          <w:rFonts w:ascii="Calibri" w:eastAsia="Calibri" w:hAnsi="Calibri" w:cs="Calibri"/>
          <w:sz w:val="20"/>
          <w:szCs w:val="20"/>
          <w:lang w:val="fr-FR"/>
        </w:rPr>
        <w:t>*</w:t>
      </w:r>
      <w:r w:rsidR="003937D3" w:rsidRPr="003937D3">
        <w:rPr>
          <w:lang w:val="fr-FR"/>
        </w:rPr>
        <w:t xml:space="preserve"> </w:t>
      </w:r>
      <w:r w:rsidR="003937D3" w:rsidRPr="003937D3">
        <w:rPr>
          <w:rFonts w:ascii="Calibri" w:eastAsia="Calibri" w:hAnsi="Calibri" w:cs="Calibri"/>
          <w:sz w:val="20"/>
          <w:szCs w:val="20"/>
          <w:lang w:val="fr-FR"/>
        </w:rPr>
        <w:t>L’analyse conjointe des données communes peut compor</w:t>
      </w:r>
      <w:r w:rsidR="003937D3">
        <w:rPr>
          <w:rFonts w:ascii="Calibri" w:eastAsia="Calibri" w:hAnsi="Calibri" w:cs="Calibri"/>
          <w:sz w:val="20"/>
          <w:szCs w:val="20"/>
          <w:lang w:val="fr-FR"/>
        </w:rPr>
        <w:t>ter des tableaux croisés</w:t>
      </w:r>
      <w:r w:rsidR="003937D3" w:rsidRPr="003937D3">
        <w:rPr>
          <w:rFonts w:ascii="Calibri" w:eastAsia="Calibri" w:hAnsi="Calibri" w:cs="Calibri"/>
          <w:sz w:val="20"/>
          <w:szCs w:val="20"/>
          <w:lang w:val="fr-FR"/>
        </w:rPr>
        <w:t xml:space="preserve"> communs, avec un marquage commun des domaines et des thèmes (p. ex., attaques contre les écoles, les abandons scolaires, le travail des enfants, etc.)</w:t>
      </w:r>
    </w:p>
    <w:p w14:paraId="61D36FCC" w14:textId="1738D5A5" w:rsidR="000B6DBE" w:rsidRDefault="000B6DBE" w:rsidP="00140437">
      <w:pPr>
        <w:spacing w:after="0" w:line="240" w:lineRule="auto"/>
        <w:rPr>
          <w:b/>
          <w:iCs/>
          <w:color w:val="9CC2E5" w:themeColor="accent5" w:themeTint="99"/>
          <w:lang w:val="fr-FR"/>
        </w:rPr>
      </w:pPr>
    </w:p>
    <w:p w14:paraId="7A68CDBD" w14:textId="77777777" w:rsidR="005365F9" w:rsidRPr="00874DE4" w:rsidRDefault="005365F9" w:rsidP="00140437">
      <w:pPr>
        <w:spacing w:after="0" w:line="240" w:lineRule="auto"/>
        <w:rPr>
          <w:b/>
          <w:iCs/>
          <w:color w:val="9CC2E5" w:themeColor="accent5" w:themeTint="99"/>
          <w:lang w:val="fr-FR"/>
        </w:rPr>
      </w:pPr>
    </w:p>
    <w:p w14:paraId="61105D0D" w14:textId="6BB202CB" w:rsidR="00396DB5" w:rsidRPr="00731F68" w:rsidRDefault="00140437" w:rsidP="00140437">
      <w:pPr>
        <w:spacing w:after="0" w:line="240" w:lineRule="auto"/>
        <w:rPr>
          <w:b/>
          <w:iCs/>
          <w:color w:val="86789C"/>
          <w:lang w:val="fr-FR"/>
        </w:rPr>
      </w:pPr>
      <w:bookmarkStart w:id="2" w:name="Annex3"/>
      <w:r w:rsidRPr="00731F68">
        <w:rPr>
          <w:b/>
          <w:iCs/>
          <w:color w:val="86789C"/>
          <w:lang w:val="fr-FR"/>
        </w:rPr>
        <w:t>Annex</w:t>
      </w:r>
      <w:r w:rsidR="00731F68" w:rsidRPr="00731F68">
        <w:rPr>
          <w:b/>
          <w:iCs/>
          <w:color w:val="86789C"/>
          <w:lang w:val="fr-FR"/>
        </w:rPr>
        <w:t>e</w:t>
      </w:r>
      <w:r w:rsidRPr="00731F68">
        <w:rPr>
          <w:b/>
          <w:iCs/>
          <w:color w:val="86789C"/>
          <w:lang w:val="fr-FR"/>
        </w:rPr>
        <w:t xml:space="preserve"> 3</w:t>
      </w:r>
      <w:r w:rsidR="00731F68">
        <w:rPr>
          <w:b/>
          <w:iCs/>
          <w:color w:val="86789C"/>
          <w:lang w:val="fr-FR"/>
        </w:rPr>
        <w:t xml:space="preserve"> </w:t>
      </w:r>
      <w:bookmarkEnd w:id="2"/>
      <w:r w:rsidR="00396DB5" w:rsidRPr="00731F68">
        <w:rPr>
          <w:b/>
          <w:iCs/>
          <w:color w:val="86789C"/>
          <w:lang w:val="fr-FR"/>
        </w:rPr>
        <w:t>:</w:t>
      </w:r>
      <w:r w:rsidR="00731F68" w:rsidRPr="00731F68">
        <w:rPr>
          <w:b/>
          <w:iCs/>
          <w:color w:val="86789C"/>
          <w:lang w:val="fr-FR"/>
        </w:rPr>
        <w:t xml:space="preserve"> S’entendre sur la manière de partager systématiquement l’information entre les </w:t>
      </w:r>
    </w:p>
    <w:p w14:paraId="6DAFBD12" w14:textId="2B105361" w:rsidR="00140437" w:rsidRPr="00CC3787" w:rsidRDefault="00396DB5" w:rsidP="00396DB5">
      <w:pPr>
        <w:spacing w:before="240" w:after="0" w:line="240" w:lineRule="auto"/>
        <w:rPr>
          <w:bCs/>
          <w:iCs/>
          <w:color w:val="86789C"/>
          <w:lang w:val="fr-FR"/>
        </w:rPr>
      </w:pPr>
      <w:r w:rsidRPr="001158DA">
        <w:rPr>
          <w:b/>
          <w:iCs/>
          <w:color w:val="86789C"/>
          <w:lang w:val="fr-FR"/>
        </w:rPr>
        <w:t>Annex</w:t>
      </w:r>
      <w:r w:rsidR="00731F68" w:rsidRPr="001158DA">
        <w:rPr>
          <w:b/>
          <w:iCs/>
          <w:color w:val="86789C"/>
          <w:lang w:val="fr-FR"/>
        </w:rPr>
        <w:t>e</w:t>
      </w:r>
      <w:r w:rsidRPr="001158DA">
        <w:rPr>
          <w:b/>
          <w:iCs/>
          <w:color w:val="86789C"/>
          <w:lang w:val="fr-FR"/>
        </w:rPr>
        <w:t xml:space="preserve"> 3</w:t>
      </w:r>
      <w:proofErr w:type="gramStart"/>
      <w:r w:rsidR="00140437" w:rsidRPr="001158DA">
        <w:rPr>
          <w:b/>
          <w:iCs/>
          <w:color w:val="86789C"/>
          <w:lang w:val="fr-FR"/>
        </w:rPr>
        <w:t>a:</w:t>
      </w:r>
      <w:proofErr w:type="gramEnd"/>
      <w:r w:rsidR="00140437" w:rsidRPr="001158DA">
        <w:rPr>
          <w:b/>
          <w:iCs/>
          <w:color w:val="86789C"/>
          <w:lang w:val="fr-FR"/>
        </w:rPr>
        <w:t xml:space="preserve"> </w:t>
      </w:r>
      <w:r w:rsidR="001158DA" w:rsidRPr="00CC3787">
        <w:rPr>
          <w:bCs/>
          <w:iCs/>
          <w:color w:val="86789C"/>
          <w:lang w:val="fr-FR"/>
        </w:rPr>
        <w:t>Liste de vérification de l’échange d’informations</w:t>
      </w:r>
      <w:r w:rsidR="00731F68" w:rsidRPr="00CC3787">
        <w:rPr>
          <w:bCs/>
          <w:iCs/>
          <w:color w:val="86789C"/>
          <w:lang w:val="fr-FR"/>
        </w:rPr>
        <w:t xml:space="preserve">   </w:t>
      </w:r>
    </w:p>
    <w:p w14:paraId="10D0904C" w14:textId="77777777" w:rsidR="001158DA" w:rsidRPr="001158DA" w:rsidRDefault="001158DA" w:rsidP="001158DA">
      <w:pPr>
        <w:spacing w:after="0"/>
        <w:rPr>
          <w:sz w:val="20"/>
          <w:szCs w:val="20"/>
          <w:lang w:val="fr-FR"/>
        </w:rPr>
      </w:pPr>
      <w:r w:rsidRPr="001158DA">
        <w:rPr>
          <w:sz w:val="20"/>
          <w:szCs w:val="20"/>
          <w:lang w:val="fr-FR"/>
        </w:rPr>
        <w:t>Assurer une compréhension commune entre les deux secteurs et identifier les possibilités d’échange d’information et de collaboration :</w:t>
      </w:r>
    </w:p>
    <w:p w14:paraId="2C3C7C11" w14:textId="13E1923D" w:rsidR="001158DA" w:rsidRPr="001158DA" w:rsidRDefault="001158DA" w:rsidP="001158DA">
      <w:pPr>
        <w:spacing w:after="0"/>
        <w:ind w:left="284" w:hanging="284"/>
        <w:rPr>
          <w:sz w:val="20"/>
          <w:szCs w:val="20"/>
          <w:lang w:val="fr-FR"/>
        </w:rPr>
      </w:pPr>
      <w:r>
        <w:rPr>
          <w:sz w:val="20"/>
          <w:szCs w:val="20"/>
          <w:lang w:val="fr-FR"/>
        </w:rPr>
        <w:t xml:space="preserve">  </w:t>
      </w:r>
      <w:r w:rsidRPr="001158DA">
        <w:rPr>
          <w:sz w:val="20"/>
          <w:szCs w:val="20"/>
          <w:lang w:val="fr-FR"/>
        </w:rPr>
        <w:t xml:space="preserve">• </w:t>
      </w:r>
      <w:r>
        <w:rPr>
          <w:sz w:val="20"/>
          <w:szCs w:val="20"/>
          <w:lang w:val="fr-FR"/>
        </w:rPr>
        <w:t xml:space="preserve">  </w:t>
      </w:r>
      <w:r w:rsidRPr="001158DA">
        <w:rPr>
          <w:sz w:val="20"/>
          <w:szCs w:val="20"/>
          <w:lang w:val="fr-FR"/>
        </w:rPr>
        <w:t>Comparer et harmoniser la terminologie et les définitions clés utilisées, y compris la méthodologie des enfants dans le besoin utilisé</w:t>
      </w:r>
      <w:r>
        <w:rPr>
          <w:sz w:val="20"/>
          <w:szCs w:val="20"/>
          <w:lang w:val="fr-FR"/>
        </w:rPr>
        <w:t>e pour les stratégies et les HNOs</w:t>
      </w:r>
      <w:r w:rsidRPr="001158DA">
        <w:rPr>
          <w:sz w:val="20"/>
          <w:szCs w:val="20"/>
          <w:lang w:val="fr-FR"/>
        </w:rPr>
        <w:t xml:space="preserve">. </w:t>
      </w:r>
    </w:p>
    <w:p w14:paraId="27706474" w14:textId="2EB6661D" w:rsidR="001158DA" w:rsidRPr="001158DA" w:rsidRDefault="001158DA" w:rsidP="001158DA">
      <w:pPr>
        <w:spacing w:after="0"/>
        <w:ind w:left="284" w:hanging="284"/>
        <w:rPr>
          <w:sz w:val="20"/>
          <w:szCs w:val="20"/>
          <w:lang w:val="fr-FR"/>
        </w:rPr>
      </w:pPr>
      <w:r>
        <w:rPr>
          <w:sz w:val="20"/>
          <w:szCs w:val="20"/>
          <w:lang w:val="fr-FR"/>
        </w:rPr>
        <w:lastRenderedPageBreak/>
        <w:t xml:space="preserve">  </w:t>
      </w:r>
      <w:r w:rsidRPr="001158DA">
        <w:rPr>
          <w:sz w:val="20"/>
          <w:szCs w:val="20"/>
          <w:lang w:val="fr-FR"/>
        </w:rPr>
        <w:t>•</w:t>
      </w:r>
      <w:r>
        <w:rPr>
          <w:sz w:val="20"/>
          <w:szCs w:val="20"/>
          <w:lang w:val="fr-FR"/>
        </w:rPr>
        <w:t xml:space="preserve">  </w:t>
      </w:r>
      <w:r w:rsidRPr="001158DA">
        <w:rPr>
          <w:sz w:val="20"/>
          <w:szCs w:val="20"/>
          <w:lang w:val="fr-FR"/>
        </w:rPr>
        <w:t xml:space="preserve"> Déterminer les besoins communs en matière d’information (en fonction des besoins communs en matière d’intervention et des besoins opérationnels). À partir de cela, élaborer des indicateurs clés qui sont i</w:t>
      </w:r>
      <w:r>
        <w:rPr>
          <w:sz w:val="20"/>
          <w:szCs w:val="20"/>
          <w:lang w:val="fr-FR"/>
        </w:rPr>
        <w:t>mportants pour les deux interventions</w:t>
      </w:r>
      <w:r w:rsidRPr="001158DA">
        <w:rPr>
          <w:sz w:val="20"/>
          <w:szCs w:val="20"/>
          <w:lang w:val="fr-FR"/>
        </w:rPr>
        <w:t xml:space="preserve"> et qui peuvent être inclus dans les initiatives de collecte de données. </w:t>
      </w:r>
    </w:p>
    <w:p w14:paraId="1DCA8C89" w14:textId="1176C48E" w:rsidR="001158DA" w:rsidRPr="001158DA" w:rsidRDefault="001158DA" w:rsidP="001158DA">
      <w:pPr>
        <w:spacing w:after="0"/>
        <w:ind w:left="284" w:hanging="284"/>
        <w:rPr>
          <w:sz w:val="20"/>
          <w:szCs w:val="20"/>
          <w:lang w:val="fr-FR"/>
        </w:rPr>
      </w:pPr>
      <w:r>
        <w:rPr>
          <w:sz w:val="20"/>
          <w:szCs w:val="20"/>
          <w:lang w:val="fr-FR"/>
        </w:rPr>
        <w:t xml:space="preserve">  </w:t>
      </w:r>
      <w:r w:rsidRPr="001158DA">
        <w:rPr>
          <w:sz w:val="20"/>
          <w:szCs w:val="20"/>
          <w:lang w:val="fr-FR"/>
        </w:rPr>
        <w:t xml:space="preserve">• </w:t>
      </w:r>
      <w:r>
        <w:rPr>
          <w:sz w:val="20"/>
          <w:szCs w:val="20"/>
          <w:lang w:val="fr-FR"/>
        </w:rPr>
        <w:t xml:space="preserve">  </w:t>
      </w:r>
      <w:r w:rsidRPr="001158DA">
        <w:rPr>
          <w:sz w:val="20"/>
          <w:szCs w:val="20"/>
          <w:lang w:val="fr-FR"/>
        </w:rPr>
        <w:t xml:space="preserve">Identifier les ensembles de données partagés et les données recueillies régulièrement par un seul secteur qui devraient être systématiquement partagés. </w:t>
      </w:r>
    </w:p>
    <w:p w14:paraId="7E7E27CD" w14:textId="3DCF51E9" w:rsidR="001158DA" w:rsidRPr="001158DA" w:rsidRDefault="001158DA" w:rsidP="001158DA">
      <w:pPr>
        <w:spacing w:after="0"/>
        <w:rPr>
          <w:sz w:val="20"/>
          <w:szCs w:val="20"/>
          <w:lang w:val="fr-FR"/>
        </w:rPr>
      </w:pPr>
      <w:r>
        <w:rPr>
          <w:sz w:val="20"/>
          <w:szCs w:val="20"/>
          <w:lang w:val="fr-FR"/>
        </w:rPr>
        <w:t xml:space="preserve">  </w:t>
      </w:r>
      <w:r w:rsidRPr="001158DA">
        <w:rPr>
          <w:sz w:val="20"/>
          <w:szCs w:val="20"/>
          <w:lang w:val="fr-FR"/>
        </w:rPr>
        <w:t>•</w:t>
      </w:r>
      <w:r>
        <w:rPr>
          <w:sz w:val="20"/>
          <w:szCs w:val="20"/>
          <w:lang w:val="fr-FR"/>
        </w:rPr>
        <w:t xml:space="preserve">  </w:t>
      </w:r>
      <w:r w:rsidRPr="001158DA">
        <w:rPr>
          <w:sz w:val="20"/>
          <w:szCs w:val="20"/>
          <w:lang w:val="fr-FR"/>
        </w:rPr>
        <w:t xml:space="preserve"> Élaborer des SOP pour l’échange et la fréquence prévisibles des données, avec des rôles et des responsabilités claires. </w:t>
      </w:r>
    </w:p>
    <w:p w14:paraId="49D94BF8" w14:textId="0B8DDD69" w:rsidR="001158DA" w:rsidRPr="001158DA" w:rsidRDefault="001158DA" w:rsidP="001158DA">
      <w:pPr>
        <w:spacing w:after="0"/>
        <w:rPr>
          <w:sz w:val="20"/>
          <w:szCs w:val="20"/>
          <w:lang w:val="fr-FR"/>
        </w:rPr>
      </w:pPr>
      <w:r>
        <w:rPr>
          <w:sz w:val="20"/>
          <w:szCs w:val="20"/>
          <w:lang w:val="fr-FR"/>
        </w:rPr>
        <w:t xml:space="preserve">  </w:t>
      </w:r>
      <w:r w:rsidRPr="001158DA">
        <w:rPr>
          <w:sz w:val="20"/>
          <w:szCs w:val="20"/>
          <w:lang w:val="fr-FR"/>
        </w:rPr>
        <w:t>•</w:t>
      </w:r>
      <w:r>
        <w:rPr>
          <w:sz w:val="20"/>
          <w:szCs w:val="20"/>
          <w:lang w:val="fr-FR"/>
        </w:rPr>
        <w:t xml:space="preserve">  </w:t>
      </w:r>
      <w:r w:rsidRPr="001158DA">
        <w:rPr>
          <w:sz w:val="20"/>
          <w:szCs w:val="20"/>
          <w:lang w:val="fr-FR"/>
        </w:rPr>
        <w:t xml:space="preserve"> Comparer les plans de travail d’évaluation et envisager des possibilités d’évaluation et d’analyse conjointes.</w:t>
      </w:r>
    </w:p>
    <w:p w14:paraId="47DC6492" w14:textId="77777777" w:rsidR="001158DA" w:rsidRPr="001158DA" w:rsidRDefault="001158DA" w:rsidP="00396DB5">
      <w:pPr>
        <w:spacing w:after="0"/>
        <w:rPr>
          <w:sz w:val="20"/>
          <w:szCs w:val="20"/>
          <w:lang w:val="fr-FR"/>
        </w:rPr>
      </w:pPr>
    </w:p>
    <w:p w14:paraId="4CEAA956" w14:textId="06974076" w:rsidR="00140437" w:rsidRPr="001158DA" w:rsidRDefault="00140437" w:rsidP="00140437">
      <w:pPr>
        <w:spacing w:after="0" w:line="240" w:lineRule="auto"/>
        <w:rPr>
          <w:b/>
          <w:iCs/>
          <w:color w:val="86789C"/>
          <w:lang w:val="fr-FR"/>
        </w:rPr>
      </w:pPr>
      <w:r w:rsidRPr="001158DA">
        <w:rPr>
          <w:b/>
          <w:iCs/>
          <w:color w:val="86789C"/>
          <w:lang w:val="fr-FR"/>
        </w:rPr>
        <w:t>Annex</w:t>
      </w:r>
      <w:r w:rsidR="001158DA" w:rsidRPr="001158DA">
        <w:rPr>
          <w:b/>
          <w:iCs/>
          <w:color w:val="86789C"/>
          <w:lang w:val="fr-FR"/>
        </w:rPr>
        <w:t>e</w:t>
      </w:r>
      <w:r w:rsidRPr="001158DA">
        <w:rPr>
          <w:b/>
          <w:iCs/>
          <w:color w:val="86789C"/>
          <w:lang w:val="fr-FR"/>
        </w:rPr>
        <w:t xml:space="preserve"> 3b</w:t>
      </w:r>
      <w:r w:rsidR="001158DA">
        <w:rPr>
          <w:b/>
          <w:iCs/>
          <w:color w:val="86789C"/>
          <w:lang w:val="fr-FR"/>
        </w:rPr>
        <w:t xml:space="preserve"> </w:t>
      </w:r>
      <w:r w:rsidRPr="001158DA">
        <w:rPr>
          <w:b/>
          <w:iCs/>
          <w:color w:val="86789C"/>
          <w:lang w:val="fr-FR"/>
        </w:rPr>
        <w:t xml:space="preserve">: </w:t>
      </w:r>
      <w:r w:rsidR="001158DA" w:rsidRPr="00CC3787">
        <w:rPr>
          <w:bCs/>
          <w:iCs/>
          <w:color w:val="86789C"/>
          <w:lang w:val="fr-FR"/>
        </w:rPr>
        <w:t>Exemple des options d’échange d’informations</w:t>
      </w:r>
      <w:r w:rsidR="001158DA" w:rsidRPr="001158DA">
        <w:rPr>
          <w:b/>
          <w:iCs/>
          <w:color w:val="86789C"/>
          <w:lang w:val="fr-FR"/>
        </w:rPr>
        <w:t xml:space="preserve">   </w:t>
      </w:r>
    </w:p>
    <w:tbl>
      <w:tblPr>
        <w:tblStyle w:val="TableGrid"/>
        <w:tblW w:w="10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7"/>
        <w:gridCol w:w="6029"/>
      </w:tblGrid>
      <w:tr w:rsidR="00140437" w:rsidRPr="00222B4B" w14:paraId="49C5A3C8" w14:textId="77777777" w:rsidTr="00CC3787">
        <w:trPr>
          <w:trHeight w:val="4022"/>
        </w:trPr>
        <w:tc>
          <w:tcPr>
            <w:tcW w:w="4737" w:type="dxa"/>
            <w:hideMark/>
          </w:tcPr>
          <w:p w14:paraId="282C0A6C" w14:textId="77777777" w:rsidR="001158DA" w:rsidRPr="00874DE4" w:rsidRDefault="001158DA" w:rsidP="001158DA">
            <w:pPr>
              <w:tabs>
                <w:tab w:val="num" w:pos="720"/>
                <w:tab w:val="num" w:pos="1440"/>
              </w:tabs>
              <w:rPr>
                <w:b/>
                <w:sz w:val="20"/>
                <w:szCs w:val="20"/>
                <w:lang w:val="fr-FR"/>
              </w:rPr>
            </w:pPr>
            <w:r w:rsidRPr="00874DE4">
              <w:rPr>
                <w:b/>
                <w:sz w:val="20"/>
                <w:szCs w:val="20"/>
                <w:lang w:val="fr-FR"/>
              </w:rPr>
              <w:t>Échange systématique d’informations</w:t>
            </w:r>
          </w:p>
          <w:p w14:paraId="0ED35A18" w14:textId="32F2EA51" w:rsidR="001158DA" w:rsidRPr="001158DA" w:rsidRDefault="001158DA" w:rsidP="001158DA">
            <w:pPr>
              <w:tabs>
                <w:tab w:val="num" w:pos="720"/>
                <w:tab w:val="num" w:pos="1440"/>
              </w:tabs>
              <w:rPr>
                <w:sz w:val="20"/>
                <w:szCs w:val="20"/>
                <w:lang w:val="fr-FR"/>
              </w:rPr>
            </w:pPr>
            <w:r w:rsidRPr="001158DA">
              <w:rPr>
                <w:sz w:val="20"/>
                <w:szCs w:val="20"/>
                <w:lang w:val="fr-FR"/>
              </w:rPr>
              <w:t xml:space="preserve">Les deux secteurs ont identifié l’information nécessaire à la prise de décisions de leur secteur et comprennent les besoins en données et les données recueillies. Identifier les ensembles de données et les informations partagées qui peuvent être échangés entre l’éducation et le </w:t>
            </w:r>
            <w:r w:rsidR="00385B9E">
              <w:rPr>
                <w:sz w:val="20"/>
                <w:szCs w:val="20"/>
                <w:lang w:val="fr-FR"/>
              </w:rPr>
              <w:t>PE</w:t>
            </w:r>
            <w:r w:rsidRPr="001158DA">
              <w:rPr>
                <w:sz w:val="20"/>
                <w:szCs w:val="20"/>
                <w:lang w:val="fr-FR"/>
              </w:rPr>
              <w:t>, et convenir des rôles et des responsabilités (SOP) pour l’échange de données prévisible et la fréquence.</w:t>
            </w:r>
          </w:p>
          <w:p w14:paraId="2CF6A97F" w14:textId="77777777" w:rsidR="001158DA" w:rsidRPr="001158DA" w:rsidRDefault="001158DA" w:rsidP="0039706A">
            <w:pPr>
              <w:tabs>
                <w:tab w:val="num" w:pos="720"/>
                <w:tab w:val="num" w:pos="1440"/>
              </w:tabs>
              <w:rPr>
                <w:sz w:val="20"/>
                <w:szCs w:val="20"/>
                <w:lang w:val="fr-FR"/>
              </w:rPr>
            </w:pPr>
          </w:p>
          <w:p w14:paraId="031E21F0" w14:textId="77777777" w:rsidR="00222B4B" w:rsidRPr="00222B4B" w:rsidRDefault="00222B4B" w:rsidP="00222B4B">
            <w:pPr>
              <w:tabs>
                <w:tab w:val="num" w:pos="720"/>
                <w:tab w:val="num" w:pos="1440"/>
              </w:tabs>
              <w:rPr>
                <w:b/>
                <w:sz w:val="20"/>
                <w:szCs w:val="20"/>
                <w:lang w:val="fr-FR"/>
              </w:rPr>
            </w:pPr>
            <w:r w:rsidRPr="00222B4B">
              <w:rPr>
                <w:b/>
                <w:sz w:val="20"/>
                <w:szCs w:val="20"/>
                <w:lang w:val="fr-FR"/>
              </w:rPr>
              <w:t>Partage minimum d’informations</w:t>
            </w:r>
          </w:p>
          <w:p w14:paraId="2CAEA3C2" w14:textId="3608B3A7" w:rsidR="001158DA" w:rsidRPr="00222B4B" w:rsidRDefault="00222B4B" w:rsidP="00222B4B">
            <w:pPr>
              <w:tabs>
                <w:tab w:val="num" w:pos="720"/>
                <w:tab w:val="num" w:pos="1440"/>
              </w:tabs>
              <w:rPr>
                <w:sz w:val="20"/>
                <w:szCs w:val="20"/>
                <w:lang w:val="fr-FR"/>
              </w:rPr>
            </w:pPr>
            <w:r w:rsidRPr="00222B4B">
              <w:rPr>
                <w:sz w:val="20"/>
                <w:szCs w:val="20"/>
                <w:lang w:val="fr-FR"/>
              </w:rPr>
              <w:t>Lorsque vous rencontrez des données pertinentes pour l’autre cluster, elles sont partagées sur une base ad hoc. Le type et la source de données sont variés et le partage/réception est imprévisible.</w:t>
            </w:r>
          </w:p>
          <w:p w14:paraId="506F4784" w14:textId="19FAAC6A" w:rsidR="001158DA" w:rsidRDefault="001158DA" w:rsidP="0039706A">
            <w:pPr>
              <w:tabs>
                <w:tab w:val="num" w:pos="720"/>
                <w:tab w:val="num" w:pos="1440"/>
              </w:tabs>
              <w:rPr>
                <w:sz w:val="20"/>
                <w:szCs w:val="20"/>
                <w:lang w:val="fr-FR"/>
              </w:rPr>
            </w:pPr>
          </w:p>
          <w:p w14:paraId="38A0F55A" w14:textId="77777777" w:rsidR="00CC3787" w:rsidRPr="00222B4B" w:rsidRDefault="00CC3787" w:rsidP="0039706A">
            <w:pPr>
              <w:tabs>
                <w:tab w:val="num" w:pos="720"/>
                <w:tab w:val="num" w:pos="1440"/>
              </w:tabs>
              <w:rPr>
                <w:sz w:val="20"/>
                <w:szCs w:val="20"/>
                <w:lang w:val="fr-FR"/>
              </w:rPr>
            </w:pPr>
          </w:p>
          <w:p w14:paraId="01ABEF17" w14:textId="45F248D6" w:rsidR="00CC3787" w:rsidRPr="00CC3787" w:rsidRDefault="00CC3787" w:rsidP="00CC3787">
            <w:pPr>
              <w:tabs>
                <w:tab w:val="left" w:pos="907"/>
              </w:tabs>
              <w:rPr>
                <w:sz w:val="20"/>
                <w:szCs w:val="20"/>
                <w:lang w:val="fr-FR"/>
              </w:rPr>
            </w:pPr>
          </w:p>
        </w:tc>
        <w:tc>
          <w:tcPr>
            <w:tcW w:w="6029" w:type="dxa"/>
          </w:tcPr>
          <w:p w14:paraId="4628BE19" w14:textId="6DC5E785" w:rsidR="00222B4B" w:rsidRPr="00222B4B" w:rsidRDefault="00222B4B" w:rsidP="00222B4B">
            <w:pPr>
              <w:tabs>
                <w:tab w:val="num" w:pos="720"/>
              </w:tabs>
              <w:spacing w:before="20"/>
              <w:rPr>
                <w:i/>
                <w:sz w:val="20"/>
                <w:szCs w:val="20"/>
                <w:lang w:val="fr-FR"/>
              </w:rPr>
            </w:pPr>
            <w:r w:rsidRPr="00222B4B">
              <w:rPr>
                <w:i/>
                <w:sz w:val="20"/>
                <w:szCs w:val="20"/>
                <w:lang w:val="fr-FR"/>
              </w:rPr>
              <w:t xml:space="preserve">Par exemple 1 : Les acteurs du </w:t>
            </w:r>
            <w:r w:rsidR="00385B9E">
              <w:rPr>
                <w:i/>
                <w:sz w:val="20"/>
                <w:szCs w:val="20"/>
                <w:lang w:val="fr-FR"/>
              </w:rPr>
              <w:t>PE</w:t>
            </w:r>
            <w:r w:rsidRPr="00222B4B">
              <w:rPr>
                <w:i/>
                <w:sz w:val="20"/>
                <w:szCs w:val="20"/>
                <w:lang w:val="fr-FR"/>
              </w:rPr>
              <w:t xml:space="preserve"> sont le princip</w:t>
            </w:r>
            <w:r>
              <w:rPr>
                <w:i/>
                <w:sz w:val="20"/>
                <w:szCs w:val="20"/>
                <w:lang w:val="fr-FR"/>
              </w:rPr>
              <w:t>al fournisseur de formations PFA</w:t>
            </w:r>
            <w:r w:rsidRPr="00222B4B">
              <w:rPr>
                <w:i/>
                <w:sz w:val="20"/>
                <w:szCs w:val="20"/>
                <w:lang w:val="fr-FR"/>
              </w:rPr>
              <w:t xml:space="preserve"> pour les enseignants. Cet indicateur est recueilli dans les 3W d’éducation et partagé chaque mois avec le P</w:t>
            </w:r>
            <w:r w:rsidR="00385B9E">
              <w:rPr>
                <w:i/>
                <w:sz w:val="20"/>
                <w:szCs w:val="20"/>
                <w:lang w:val="fr-FR"/>
              </w:rPr>
              <w:t>E</w:t>
            </w:r>
            <w:r w:rsidRPr="00222B4B">
              <w:rPr>
                <w:i/>
                <w:sz w:val="20"/>
                <w:szCs w:val="20"/>
                <w:lang w:val="fr-FR"/>
              </w:rPr>
              <w:t>.</w:t>
            </w:r>
          </w:p>
          <w:p w14:paraId="40AEE9C8" w14:textId="0DC9F5EB" w:rsidR="00222B4B" w:rsidRPr="00222B4B" w:rsidRDefault="00222B4B" w:rsidP="00222B4B">
            <w:pPr>
              <w:tabs>
                <w:tab w:val="num" w:pos="720"/>
              </w:tabs>
              <w:spacing w:before="20"/>
              <w:rPr>
                <w:i/>
                <w:sz w:val="20"/>
                <w:szCs w:val="20"/>
                <w:lang w:val="fr-FR"/>
              </w:rPr>
            </w:pPr>
            <w:r w:rsidRPr="00222B4B">
              <w:rPr>
                <w:i/>
                <w:sz w:val="20"/>
                <w:szCs w:val="20"/>
                <w:lang w:val="fr-FR"/>
              </w:rPr>
              <w:t xml:space="preserve">P. ex. 2 : Les enseignants sont formés pour identifier et orienter les cas/préoccupations de protection vers </w:t>
            </w:r>
            <w:r>
              <w:rPr>
                <w:i/>
                <w:sz w:val="20"/>
                <w:szCs w:val="20"/>
                <w:lang w:val="fr-FR"/>
              </w:rPr>
              <w:t>la voie de référence</w:t>
            </w:r>
            <w:r w:rsidRPr="00222B4B">
              <w:rPr>
                <w:i/>
                <w:sz w:val="20"/>
                <w:szCs w:val="20"/>
                <w:lang w:val="fr-FR"/>
              </w:rPr>
              <w:t xml:space="preserve"> du P</w:t>
            </w:r>
            <w:r w:rsidR="00385B9E">
              <w:rPr>
                <w:i/>
                <w:sz w:val="20"/>
                <w:szCs w:val="20"/>
                <w:lang w:val="fr-FR"/>
              </w:rPr>
              <w:t>E</w:t>
            </w:r>
            <w:r w:rsidRPr="00222B4B">
              <w:rPr>
                <w:i/>
                <w:sz w:val="20"/>
                <w:szCs w:val="20"/>
                <w:lang w:val="fr-FR"/>
              </w:rPr>
              <w:t>. Des cas qui (lorsqu’ils sont examinés par un acteur du P</w:t>
            </w:r>
            <w:r w:rsidR="00385B9E">
              <w:rPr>
                <w:i/>
                <w:sz w:val="20"/>
                <w:szCs w:val="20"/>
                <w:lang w:val="fr-FR"/>
              </w:rPr>
              <w:t>E</w:t>
            </w:r>
            <w:r w:rsidRPr="00222B4B">
              <w:rPr>
                <w:i/>
                <w:sz w:val="20"/>
                <w:szCs w:val="20"/>
                <w:lang w:val="fr-FR"/>
              </w:rPr>
              <w:t xml:space="preserve">) sont légitimes et ouverts à mesure que les cas de travail social sont signalés dans les 3W du </w:t>
            </w:r>
            <w:r w:rsidR="00385B9E">
              <w:rPr>
                <w:i/>
                <w:sz w:val="20"/>
                <w:szCs w:val="20"/>
                <w:lang w:val="fr-FR"/>
              </w:rPr>
              <w:t>PE</w:t>
            </w:r>
            <w:r w:rsidRPr="00222B4B">
              <w:rPr>
                <w:i/>
                <w:sz w:val="20"/>
                <w:szCs w:val="20"/>
                <w:lang w:val="fr-FR"/>
              </w:rPr>
              <w:t xml:space="preserve"> et partagés chaque mois avec l’Éducation.</w:t>
            </w:r>
          </w:p>
          <w:p w14:paraId="18E90127" w14:textId="0AEDAD31" w:rsidR="00222B4B" w:rsidRDefault="00222B4B" w:rsidP="0039706A">
            <w:pPr>
              <w:tabs>
                <w:tab w:val="num" w:pos="720"/>
              </w:tabs>
              <w:spacing w:before="20"/>
              <w:rPr>
                <w:i/>
                <w:sz w:val="20"/>
                <w:szCs w:val="20"/>
                <w:lang w:val="fr-FR"/>
              </w:rPr>
            </w:pPr>
          </w:p>
          <w:p w14:paraId="5B19D72A" w14:textId="77777777" w:rsidR="00CC3787" w:rsidRPr="00222B4B" w:rsidRDefault="00CC3787" w:rsidP="0039706A">
            <w:pPr>
              <w:tabs>
                <w:tab w:val="num" w:pos="720"/>
              </w:tabs>
              <w:spacing w:before="20"/>
              <w:rPr>
                <w:i/>
                <w:sz w:val="20"/>
                <w:szCs w:val="20"/>
                <w:lang w:val="fr-FR"/>
              </w:rPr>
            </w:pPr>
          </w:p>
          <w:p w14:paraId="08FE67E8" w14:textId="1282EFED" w:rsidR="00222B4B" w:rsidRPr="00222B4B" w:rsidRDefault="00222B4B" w:rsidP="0039706A">
            <w:pPr>
              <w:tabs>
                <w:tab w:val="num" w:pos="720"/>
              </w:tabs>
              <w:spacing w:before="20"/>
              <w:rPr>
                <w:i/>
                <w:sz w:val="20"/>
                <w:szCs w:val="20"/>
                <w:lang w:val="fr-FR"/>
              </w:rPr>
            </w:pPr>
            <w:r w:rsidRPr="00222B4B">
              <w:rPr>
                <w:i/>
                <w:sz w:val="20"/>
                <w:szCs w:val="20"/>
                <w:lang w:val="fr-FR"/>
              </w:rPr>
              <w:t xml:space="preserve">Par exemple, un partenaire en éducation a effectué une évaluation sur le décrochage </w:t>
            </w:r>
            <w:r w:rsidR="004C3B05" w:rsidRPr="00222B4B">
              <w:rPr>
                <w:i/>
                <w:sz w:val="20"/>
                <w:szCs w:val="20"/>
                <w:lang w:val="fr-FR"/>
              </w:rPr>
              <w:t>scolaire ;</w:t>
            </w:r>
            <w:r w:rsidRPr="00222B4B">
              <w:rPr>
                <w:i/>
                <w:sz w:val="20"/>
                <w:szCs w:val="20"/>
                <w:lang w:val="fr-FR"/>
              </w:rPr>
              <w:t xml:space="preserve"> une constatation clé pour u</w:t>
            </w:r>
            <w:r>
              <w:rPr>
                <w:i/>
                <w:sz w:val="20"/>
                <w:szCs w:val="20"/>
                <w:lang w:val="fr-FR"/>
              </w:rPr>
              <w:t>ne région est que le l’inscription</w:t>
            </w:r>
            <w:r w:rsidRPr="00222B4B">
              <w:rPr>
                <w:i/>
                <w:sz w:val="20"/>
                <w:szCs w:val="20"/>
                <w:lang w:val="fr-FR"/>
              </w:rPr>
              <w:t xml:space="preserve"> d’enfants a augmenté dans l’emplacement au cours de la dernière période. Le cluster Éducation transmet cela au sous-groupe P</w:t>
            </w:r>
            <w:r w:rsidR="00385B9E">
              <w:rPr>
                <w:i/>
                <w:sz w:val="20"/>
                <w:szCs w:val="20"/>
                <w:lang w:val="fr-FR"/>
              </w:rPr>
              <w:t>E</w:t>
            </w:r>
            <w:r w:rsidRPr="00222B4B">
              <w:rPr>
                <w:i/>
                <w:sz w:val="20"/>
                <w:szCs w:val="20"/>
                <w:lang w:val="fr-FR"/>
              </w:rPr>
              <w:t>.</w:t>
            </w:r>
          </w:p>
          <w:p w14:paraId="4004935C" w14:textId="77777777" w:rsidR="00222B4B" w:rsidRPr="00222B4B" w:rsidRDefault="00222B4B" w:rsidP="0039706A">
            <w:pPr>
              <w:tabs>
                <w:tab w:val="num" w:pos="720"/>
              </w:tabs>
              <w:spacing w:before="20"/>
              <w:rPr>
                <w:i/>
                <w:sz w:val="20"/>
                <w:szCs w:val="20"/>
                <w:lang w:val="fr-FR"/>
              </w:rPr>
            </w:pPr>
          </w:p>
          <w:p w14:paraId="35A5DDEF" w14:textId="77777777" w:rsidR="00222B4B" w:rsidRPr="00222B4B" w:rsidRDefault="00222B4B" w:rsidP="00CC3787">
            <w:pPr>
              <w:tabs>
                <w:tab w:val="num" w:pos="720"/>
              </w:tabs>
              <w:spacing w:before="20"/>
              <w:jc w:val="center"/>
              <w:rPr>
                <w:i/>
                <w:sz w:val="20"/>
                <w:szCs w:val="20"/>
                <w:lang w:val="fr-FR"/>
              </w:rPr>
            </w:pPr>
          </w:p>
          <w:p w14:paraId="28EDE70D" w14:textId="77777777" w:rsidR="00140437" w:rsidRPr="00222B4B" w:rsidRDefault="00140437" w:rsidP="00222B4B">
            <w:pPr>
              <w:tabs>
                <w:tab w:val="num" w:pos="720"/>
              </w:tabs>
              <w:spacing w:before="20"/>
              <w:rPr>
                <w:i/>
                <w:sz w:val="20"/>
                <w:szCs w:val="20"/>
                <w:lang w:val="fr-FR"/>
              </w:rPr>
            </w:pPr>
          </w:p>
        </w:tc>
      </w:tr>
      <w:tr w:rsidR="00140437" w:rsidRPr="00FA58EA" w14:paraId="4BBC01D8" w14:textId="77777777" w:rsidTr="00CC3787">
        <w:trPr>
          <w:trHeight w:val="35"/>
        </w:trPr>
        <w:tc>
          <w:tcPr>
            <w:tcW w:w="4737" w:type="dxa"/>
            <w:hideMark/>
          </w:tcPr>
          <w:p w14:paraId="4669C9CD" w14:textId="052CBEBC" w:rsidR="00140437" w:rsidRPr="004C3B05" w:rsidRDefault="00140437" w:rsidP="004C3B05">
            <w:pPr>
              <w:tabs>
                <w:tab w:val="num" w:pos="720"/>
              </w:tabs>
              <w:spacing w:before="20"/>
              <w:rPr>
                <w:b/>
                <w:sz w:val="20"/>
                <w:szCs w:val="20"/>
                <w:lang w:val="en-GB"/>
              </w:rPr>
            </w:pPr>
          </w:p>
        </w:tc>
        <w:tc>
          <w:tcPr>
            <w:tcW w:w="6029" w:type="dxa"/>
            <w:hideMark/>
          </w:tcPr>
          <w:p w14:paraId="636F9BE1" w14:textId="6F3F28D4" w:rsidR="00140437" w:rsidRPr="00FA58EA" w:rsidRDefault="00140437" w:rsidP="0039706A">
            <w:pPr>
              <w:tabs>
                <w:tab w:val="num" w:pos="720"/>
              </w:tabs>
              <w:spacing w:before="20"/>
              <w:rPr>
                <w:i/>
                <w:sz w:val="20"/>
                <w:szCs w:val="20"/>
                <w:lang w:val="en-GB"/>
              </w:rPr>
            </w:pPr>
          </w:p>
        </w:tc>
      </w:tr>
    </w:tbl>
    <w:p w14:paraId="55426FBD" w14:textId="210C28AF" w:rsidR="00140437" w:rsidRPr="00EA0B1A" w:rsidRDefault="00140437" w:rsidP="00140437">
      <w:pPr>
        <w:spacing w:after="0" w:line="240" w:lineRule="auto"/>
        <w:rPr>
          <w:b/>
          <w:iCs/>
          <w:color w:val="86789C"/>
          <w:lang w:val="fr-FR"/>
        </w:rPr>
      </w:pPr>
      <w:bookmarkStart w:id="3" w:name="Annex4"/>
      <w:r w:rsidRPr="00EA0B1A">
        <w:rPr>
          <w:b/>
          <w:iCs/>
          <w:color w:val="86789C"/>
          <w:lang w:val="fr-FR"/>
        </w:rPr>
        <w:t>Annex</w:t>
      </w:r>
      <w:r w:rsidR="004C3B05" w:rsidRPr="00EA0B1A">
        <w:rPr>
          <w:b/>
          <w:iCs/>
          <w:color w:val="86789C"/>
          <w:lang w:val="fr-FR"/>
        </w:rPr>
        <w:t>e</w:t>
      </w:r>
      <w:r w:rsidRPr="00EA0B1A">
        <w:rPr>
          <w:b/>
          <w:iCs/>
          <w:color w:val="86789C"/>
          <w:lang w:val="fr-FR"/>
        </w:rPr>
        <w:t xml:space="preserve"> 4</w:t>
      </w:r>
      <w:r w:rsidR="004C3B05" w:rsidRPr="00EA0B1A">
        <w:rPr>
          <w:b/>
          <w:iCs/>
          <w:color w:val="86789C"/>
          <w:lang w:val="fr-FR"/>
        </w:rPr>
        <w:t xml:space="preserve"> </w:t>
      </w:r>
      <w:bookmarkEnd w:id="3"/>
      <w:r w:rsidRPr="00EA0B1A">
        <w:rPr>
          <w:b/>
          <w:iCs/>
          <w:color w:val="86789C"/>
          <w:lang w:val="fr-FR"/>
        </w:rPr>
        <w:t xml:space="preserve">: </w:t>
      </w:r>
      <w:r w:rsidR="00EA0B1A" w:rsidRPr="00EA0B1A">
        <w:rPr>
          <w:b/>
          <w:iCs/>
          <w:color w:val="86789C"/>
          <w:lang w:val="fr-FR"/>
        </w:rPr>
        <w:t xml:space="preserve">Avantages et limites des évaluations des besoins conjoints et sectoriels     </w:t>
      </w:r>
    </w:p>
    <w:p w14:paraId="7FE071C0" w14:textId="77777777" w:rsidR="005435C0" w:rsidRPr="00EA0B1A" w:rsidRDefault="005435C0" w:rsidP="00140437">
      <w:pPr>
        <w:spacing w:after="0" w:line="240" w:lineRule="auto"/>
        <w:rPr>
          <w:b/>
          <w:iCs/>
          <w:color w:val="86789C"/>
          <w:lang w:val="fr-FR"/>
        </w:rPr>
      </w:pPr>
    </w:p>
    <w:tbl>
      <w:tblPr>
        <w:tblStyle w:val="TableGrid"/>
        <w:tblW w:w="10617" w:type="dxa"/>
        <w:tblBorders>
          <w:top w:val="single" w:sz="8" w:space="0" w:color="86789C"/>
          <w:left w:val="single" w:sz="8" w:space="0" w:color="86789C"/>
          <w:bottom w:val="single" w:sz="8" w:space="0" w:color="86789C"/>
          <w:right w:val="single" w:sz="8" w:space="0" w:color="86789C"/>
          <w:insideH w:val="single" w:sz="8" w:space="0" w:color="86789C"/>
          <w:insideV w:val="single" w:sz="8" w:space="0" w:color="86789C"/>
        </w:tblBorders>
        <w:tblLook w:val="04A0" w:firstRow="1" w:lastRow="0" w:firstColumn="1" w:lastColumn="0" w:noHBand="0" w:noVBand="1"/>
      </w:tblPr>
      <w:tblGrid>
        <w:gridCol w:w="1843"/>
        <w:gridCol w:w="4387"/>
        <w:gridCol w:w="4387"/>
      </w:tblGrid>
      <w:tr w:rsidR="00140437" w:rsidRPr="00FA58EA" w14:paraId="033DCA65" w14:textId="77777777" w:rsidTr="000A13FB">
        <w:tc>
          <w:tcPr>
            <w:tcW w:w="1843" w:type="dxa"/>
          </w:tcPr>
          <w:p w14:paraId="70C58005" w14:textId="77777777" w:rsidR="00140437" w:rsidRPr="00EA0B1A" w:rsidRDefault="00140437" w:rsidP="0039706A">
            <w:pPr>
              <w:jc w:val="center"/>
              <w:rPr>
                <w:b/>
                <w:sz w:val="20"/>
                <w:szCs w:val="20"/>
                <w:lang w:val="fr-FR"/>
              </w:rPr>
            </w:pPr>
          </w:p>
        </w:tc>
        <w:tc>
          <w:tcPr>
            <w:tcW w:w="4387" w:type="dxa"/>
            <w:vAlign w:val="center"/>
            <w:hideMark/>
          </w:tcPr>
          <w:p w14:paraId="63CD4244" w14:textId="1230B7DB" w:rsidR="00140437" w:rsidRPr="00FA58EA" w:rsidRDefault="00EA0B1A" w:rsidP="0039706A">
            <w:pPr>
              <w:jc w:val="center"/>
              <w:rPr>
                <w:b/>
                <w:sz w:val="20"/>
                <w:szCs w:val="20"/>
                <w:lang w:val="en-GB"/>
              </w:rPr>
            </w:pPr>
            <w:r>
              <w:rPr>
                <w:b/>
                <w:sz w:val="20"/>
                <w:szCs w:val="20"/>
                <w:lang w:val="en-GB"/>
              </w:rPr>
              <w:t xml:space="preserve">Avantages Potentiels </w:t>
            </w:r>
          </w:p>
        </w:tc>
        <w:tc>
          <w:tcPr>
            <w:tcW w:w="4387" w:type="dxa"/>
            <w:vAlign w:val="center"/>
            <w:hideMark/>
          </w:tcPr>
          <w:p w14:paraId="54740DAF" w14:textId="017AC783" w:rsidR="00140437" w:rsidRPr="00FA58EA" w:rsidRDefault="00EA0B1A" w:rsidP="00EA0B1A">
            <w:pPr>
              <w:rPr>
                <w:b/>
                <w:sz w:val="20"/>
                <w:szCs w:val="20"/>
                <w:lang w:val="en-GB"/>
              </w:rPr>
            </w:pPr>
            <w:r>
              <w:rPr>
                <w:b/>
                <w:sz w:val="20"/>
                <w:szCs w:val="20"/>
                <w:lang w:val="en-GB"/>
              </w:rPr>
              <w:t xml:space="preserve">               </w:t>
            </w:r>
            <w:r w:rsidR="00140437" w:rsidRPr="00FA58EA">
              <w:rPr>
                <w:b/>
                <w:sz w:val="20"/>
                <w:szCs w:val="20"/>
                <w:lang w:val="en-GB"/>
              </w:rPr>
              <w:t xml:space="preserve"> Limitations</w:t>
            </w:r>
            <w:r>
              <w:rPr>
                <w:b/>
                <w:sz w:val="20"/>
                <w:szCs w:val="20"/>
                <w:lang w:val="en-GB"/>
              </w:rPr>
              <w:t xml:space="preserve"> Potentielles</w:t>
            </w:r>
          </w:p>
        </w:tc>
      </w:tr>
      <w:tr w:rsidR="00140437" w:rsidRPr="005365F9" w14:paraId="3DDBDA00" w14:textId="77777777" w:rsidTr="000A13FB">
        <w:tc>
          <w:tcPr>
            <w:tcW w:w="1843" w:type="dxa"/>
            <w:hideMark/>
          </w:tcPr>
          <w:p w14:paraId="748A33AB" w14:textId="5B1E84A6" w:rsidR="00140437" w:rsidRPr="00FA58EA" w:rsidRDefault="00EA0B1A" w:rsidP="0039706A">
            <w:pPr>
              <w:rPr>
                <w:b/>
                <w:sz w:val="20"/>
                <w:szCs w:val="20"/>
                <w:lang w:val="en-GB"/>
              </w:rPr>
            </w:pPr>
            <w:r>
              <w:rPr>
                <w:b/>
                <w:sz w:val="20"/>
                <w:szCs w:val="20"/>
                <w:lang w:val="en-GB"/>
              </w:rPr>
              <w:t xml:space="preserve">Evaluations Conjointe </w:t>
            </w:r>
          </w:p>
        </w:tc>
        <w:tc>
          <w:tcPr>
            <w:tcW w:w="4387" w:type="dxa"/>
            <w:vAlign w:val="center"/>
            <w:hideMark/>
          </w:tcPr>
          <w:p w14:paraId="4E571AD8" w14:textId="00F4E2DB" w:rsidR="00EA0B1A" w:rsidRPr="006618E2" w:rsidRDefault="00EA0B1A" w:rsidP="00CC3787">
            <w:pPr>
              <w:pStyle w:val="ListParagraph"/>
              <w:numPr>
                <w:ilvl w:val="0"/>
                <w:numId w:val="12"/>
              </w:numPr>
              <w:ind w:left="284" w:hanging="284"/>
              <w:rPr>
                <w:sz w:val="20"/>
                <w:szCs w:val="20"/>
                <w:lang w:val="fr-FR"/>
              </w:rPr>
            </w:pPr>
            <w:r w:rsidRPr="00EA0B1A">
              <w:rPr>
                <w:sz w:val="20"/>
                <w:szCs w:val="20"/>
                <w:lang w:val="fr-FR"/>
              </w:rPr>
              <w:t xml:space="preserve"> Les </w:t>
            </w:r>
            <w:r w:rsidRPr="006618E2">
              <w:rPr>
                <w:sz w:val="20"/>
                <w:szCs w:val="20"/>
                <w:lang w:val="fr-FR"/>
              </w:rPr>
              <w:t xml:space="preserve">besoins des enfants sont holistiques et interdépendants, et les analyser vis-à-vis d’autres secteurs peut permettre de mieux comprendre leurs besoins et leurs priorités </w:t>
            </w:r>
          </w:p>
          <w:p w14:paraId="7EADA06A" w14:textId="62785057" w:rsidR="00EA0B1A" w:rsidRPr="006618E2" w:rsidRDefault="00EA0B1A" w:rsidP="00CC3787">
            <w:pPr>
              <w:pStyle w:val="ListParagraph"/>
              <w:numPr>
                <w:ilvl w:val="0"/>
                <w:numId w:val="12"/>
              </w:numPr>
              <w:ind w:left="284" w:hanging="284"/>
              <w:rPr>
                <w:sz w:val="20"/>
                <w:szCs w:val="20"/>
                <w:lang w:val="fr-FR"/>
              </w:rPr>
            </w:pPr>
            <w:r w:rsidRPr="006618E2">
              <w:rPr>
                <w:sz w:val="20"/>
                <w:szCs w:val="20"/>
                <w:lang w:val="fr-FR"/>
              </w:rPr>
              <w:t xml:space="preserve"> Maximise les ressources humaines et financières lors d’une évaluation </w:t>
            </w:r>
          </w:p>
          <w:p w14:paraId="65EFFB71" w14:textId="0E2748D1" w:rsidR="00EA0B1A" w:rsidRPr="006618E2" w:rsidRDefault="00EA0B1A" w:rsidP="00CC3787">
            <w:pPr>
              <w:pStyle w:val="ListParagraph"/>
              <w:numPr>
                <w:ilvl w:val="0"/>
                <w:numId w:val="12"/>
              </w:numPr>
              <w:ind w:left="284" w:hanging="284"/>
              <w:rPr>
                <w:sz w:val="20"/>
                <w:szCs w:val="20"/>
                <w:lang w:val="fr-FR"/>
              </w:rPr>
            </w:pPr>
            <w:r w:rsidRPr="006618E2">
              <w:rPr>
                <w:sz w:val="20"/>
                <w:szCs w:val="20"/>
                <w:lang w:val="fr-FR"/>
              </w:rPr>
              <w:t>Capitalise</w:t>
            </w:r>
            <w:r w:rsidR="00DC1EFE" w:rsidRPr="006618E2">
              <w:rPr>
                <w:sz w:val="20"/>
                <w:szCs w:val="20"/>
                <w:lang w:val="fr-FR"/>
              </w:rPr>
              <w:t xml:space="preserve"> sur les forces de chaque cluster</w:t>
            </w:r>
            <w:r w:rsidRPr="006618E2">
              <w:rPr>
                <w:sz w:val="20"/>
                <w:szCs w:val="20"/>
                <w:lang w:val="fr-FR"/>
              </w:rPr>
              <w:t xml:space="preserve"> dans la collecte de données (c.-à-d. les évaluations de l’éducation sont souvent au niveau des établissements, alors que les évaluations du </w:t>
            </w:r>
            <w:r w:rsidR="00385B9E">
              <w:rPr>
                <w:sz w:val="20"/>
                <w:szCs w:val="20"/>
                <w:lang w:val="fr-FR"/>
              </w:rPr>
              <w:t>PE</w:t>
            </w:r>
            <w:r w:rsidRPr="006618E2">
              <w:rPr>
                <w:sz w:val="20"/>
                <w:szCs w:val="20"/>
                <w:lang w:val="fr-FR"/>
              </w:rPr>
              <w:t xml:space="preserve"> sont souvent au niveau des ménages)</w:t>
            </w:r>
          </w:p>
          <w:p w14:paraId="428DFE7C" w14:textId="3234DE49" w:rsidR="00EA0B1A" w:rsidRPr="006618E2" w:rsidRDefault="00EA0B1A" w:rsidP="00CC3787">
            <w:pPr>
              <w:pStyle w:val="ListParagraph"/>
              <w:numPr>
                <w:ilvl w:val="0"/>
                <w:numId w:val="12"/>
              </w:numPr>
              <w:ind w:left="284" w:hanging="284"/>
              <w:rPr>
                <w:sz w:val="20"/>
                <w:szCs w:val="20"/>
                <w:lang w:val="fr-FR"/>
              </w:rPr>
            </w:pPr>
            <w:r w:rsidRPr="006618E2">
              <w:rPr>
                <w:sz w:val="20"/>
                <w:szCs w:val="20"/>
                <w:lang w:val="fr-FR"/>
              </w:rPr>
              <w:t xml:space="preserve">Soutient le fait que de nombreuses données essentielles sont les mêmes entre le </w:t>
            </w:r>
            <w:r w:rsidR="00385B9E">
              <w:rPr>
                <w:sz w:val="20"/>
                <w:szCs w:val="20"/>
                <w:lang w:val="fr-FR"/>
              </w:rPr>
              <w:t>PE</w:t>
            </w:r>
            <w:r w:rsidRPr="006618E2">
              <w:rPr>
                <w:sz w:val="20"/>
                <w:szCs w:val="20"/>
                <w:lang w:val="fr-FR"/>
              </w:rPr>
              <w:t xml:space="preserve"> et l’éducation</w:t>
            </w:r>
          </w:p>
          <w:p w14:paraId="5C68AC1E" w14:textId="603F3FCA" w:rsidR="00EA0B1A" w:rsidRPr="006618E2" w:rsidRDefault="00EA0B1A" w:rsidP="00CC3787">
            <w:pPr>
              <w:pStyle w:val="ListParagraph"/>
              <w:numPr>
                <w:ilvl w:val="0"/>
                <w:numId w:val="12"/>
              </w:numPr>
              <w:ind w:left="284" w:hanging="284"/>
              <w:rPr>
                <w:sz w:val="20"/>
                <w:szCs w:val="20"/>
                <w:lang w:val="fr-FR"/>
              </w:rPr>
            </w:pPr>
            <w:r w:rsidRPr="006618E2">
              <w:rPr>
                <w:sz w:val="20"/>
                <w:szCs w:val="20"/>
                <w:lang w:val="fr-FR"/>
              </w:rPr>
              <w:t xml:space="preserve">Facilite l’identification des possibilités de collaboration et de programmation intégrée (p. ex. références, </w:t>
            </w:r>
            <w:r w:rsidR="00DC1EFE" w:rsidRPr="006618E2">
              <w:rPr>
                <w:sz w:val="20"/>
                <w:szCs w:val="20"/>
                <w:lang w:val="fr-FR"/>
              </w:rPr>
              <w:t>partage d’expertise</w:t>
            </w:r>
            <w:r w:rsidRPr="006618E2">
              <w:rPr>
                <w:sz w:val="20"/>
                <w:szCs w:val="20"/>
                <w:lang w:val="fr-FR"/>
              </w:rPr>
              <w:t>, etc.)</w:t>
            </w:r>
          </w:p>
          <w:p w14:paraId="369FE945" w14:textId="5DB36E75" w:rsidR="00EA0B1A" w:rsidRPr="00CC3787" w:rsidRDefault="00EA0B1A" w:rsidP="00CC3787">
            <w:pPr>
              <w:pStyle w:val="ListParagraph"/>
              <w:numPr>
                <w:ilvl w:val="0"/>
                <w:numId w:val="12"/>
              </w:numPr>
              <w:ind w:left="284" w:hanging="284"/>
              <w:rPr>
                <w:sz w:val="20"/>
                <w:szCs w:val="20"/>
                <w:lang w:val="en-GB"/>
              </w:rPr>
            </w:pPr>
            <w:r w:rsidRPr="006618E2">
              <w:rPr>
                <w:sz w:val="20"/>
                <w:szCs w:val="20"/>
                <w:lang w:val="fr-FR"/>
              </w:rPr>
              <w:t xml:space="preserve">Améliore l’apprentissage intersectoriel dans les domaines techniques de l’autre secteur, la collecte et l’analyse de données statistiques et les plates-formes technologiques utilisées (p. ex. </w:t>
            </w:r>
            <w:r w:rsidRPr="00CC3787">
              <w:rPr>
                <w:sz w:val="20"/>
                <w:szCs w:val="20"/>
                <w:lang w:val="en-GB"/>
              </w:rPr>
              <w:t>Kobo, Power BI)</w:t>
            </w:r>
          </w:p>
          <w:p w14:paraId="1318DD1A" w14:textId="198D4238" w:rsidR="00140437" w:rsidRPr="00DC1EFE" w:rsidRDefault="00EA0B1A" w:rsidP="00DC1EFE">
            <w:pPr>
              <w:pStyle w:val="ListParagraph"/>
              <w:numPr>
                <w:ilvl w:val="0"/>
                <w:numId w:val="12"/>
              </w:numPr>
              <w:rPr>
                <w:rFonts w:eastAsiaTheme="minorEastAsia"/>
                <w:sz w:val="20"/>
                <w:szCs w:val="20"/>
                <w:lang w:val="fr-FR"/>
              </w:rPr>
            </w:pPr>
            <w:r w:rsidRPr="00DC1EFE">
              <w:rPr>
                <w:sz w:val="20"/>
                <w:szCs w:val="20"/>
                <w:lang w:val="fr-FR"/>
              </w:rPr>
              <w:t>Empêche la fatigue d’évaluation de la population affectée</w:t>
            </w:r>
            <w:r w:rsidR="00DC1EFE" w:rsidRPr="00DC1EFE">
              <w:rPr>
                <w:sz w:val="20"/>
                <w:szCs w:val="20"/>
                <w:lang w:val="fr-FR"/>
              </w:rPr>
              <w:t xml:space="preserve"> </w:t>
            </w:r>
          </w:p>
        </w:tc>
        <w:tc>
          <w:tcPr>
            <w:tcW w:w="4387" w:type="dxa"/>
            <w:vAlign w:val="center"/>
            <w:hideMark/>
          </w:tcPr>
          <w:p w14:paraId="20034BA7" w14:textId="3CC793D4" w:rsidR="00DC1EFE" w:rsidRPr="006618E2" w:rsidRDefault="00DC1EFE" w:rsidP="00CC3787">
            <w:pPr>
              <w:pStyle w:val="ListParagraph"/>
              <w:numPr>
                <w:ilvl w:val="0"/>
                <w:numId w:val="12"/>
              </w:numPr>
              <w:ind w:left="284" w:hanging="284"/>
              <w:rPr>
                <w:sz w:val="20"/>
                <w:szCs w:val="20"/>
                <w:lang w:val="fr-FR"/>
              </w:rPr>
            </w:pPr>
            <w:r w:rsidRPr="00DC1EFE">
              <w:rPr>
                <w:sz w:val="20"/>
                <w:szCs w:val="20"/>
                <w:lang w:val="fr-FR"/>
              </w:rPr>
              <w:t xml:space="preserve">Peut </w:t>
            </w:r>
            <w:r w:rsidRPr="006618E2">
              <w:rPr>
                <w:sz w:val="20"/>
                <w:szCs w:val="20"/>
                <w:lang w:val="fr-FR"/>
              </w:rPr>
              <w:t>prendre du temps pour les deux secteurs de consulter, d’accepter, de préparer conjointement et de former les énumérateurs, afin de répondre aux besoins des deux secteurs</w:t>
            </w:r>
          </w:p>
          <w:p w14:paraId="3979FB18" w14:textId="10440371" w:rsidR="00DC1EFE" w:rsidRPr="006618E2" w:rsidRDefault="00DC1EFE" w:rsidP="00CC3787">
            <w:pPr>
              <w:pStyle w:val="ListParagraph"/>
              <w:numPr>
                <w:ilvl w:val="0"/>
                <w:numId w:val="12"/>
              </w:numPr>
              <w:ind w:left="284" w:hanging="284"/>
              <w:rPr>
                <w:sz w:val="20"/>
                <w:szCs w:val="20"/>
                <w:lang w:val="fr-FR"/>
              </w:rPr>
            </w:pPr>
            <w:r w:rsidRPr="006618E2">
              <w:rPr>
                <w:sz w:val="20"/>
                <w:szCs w:val="20"/>
                <w:lang w:val="fr-FR"/>
              </w:rPr>
              <w:t>L’outil d’évaluation peut être plus long pour répondre aux questions des deux secteurs, ce qui augmente le temps et les ressources nécessaires à la collecte de données</w:t>
            </w:r>
          </w:p>
          <w:p w14:paraId="17A28EC1" w14:textId="244206F3" w:rsidR="00DC1EFE" w:rsidRPr="006618E2" w:rsidRDefault="00DC1EFE" w:rsidP="00CC3787">
            <w:pPr>
              <w:pStyle w:val="ListParagraph"/>
              <w:numPr>
                <w:ilvl w:val="0"/>
                <w:numId w:val="12"/>
              </w:numPr>
              <w:ind w:left="284" w:hanging="284"/>
              <w:rPr>
                <w:sz w:val="20"/>
                <w:szCs w:val="20"/>
                <w:lang w:val="fr-FR"/>
              </w:rPr>
            </w:pPr>
            <w:r w:rsidRPr="006618E2">
              <w:rPr>
                <w:sz w:val="20"/>
                <w:szCs w:val="20"/>
                <w:lang w:val="fr-FR"/>
              </w:rPr>
              <w:t>Inversement, l’outil ne peut permettre qu’aux questions clés de chaque secteur de le garder court, limitant le détail et l’utilité des résultats</w:t>
            </w:r>
          </w:p>
          <w:p w14:paraId="3BE6F627" w14:textId="6B8034E8" w:rsidR="00DC1EFE" w:rsidRPr="00874DE4" w:rsidRDefault="00DC1EFE" w:rsidP="00CC3787">
            <w:pPr>
              <w:pStyle w:val="ListParagraph"/>
              <w:numPr>
                <w:ilvl w:val="0"/>
                <w:numId w:val="12"/>
              </w:numPr>
              <w:ind w:left="284" w:hanging="284"/>
              <w:rPr>
                <w:sz w:val="20"/>
                <w:szCs w:val="20"/>
                <w:lang w:val="fr-FR"/>
              </w:rPr>
            </w:pPr>
            <w:r w:rsidRPr="006618E2">
              <w:rPr>
                <w:sz w:val="20"/>
                <w:szCs w:val="20"/>
                <w:lang w:val="fr-FR"/>
              </w:rPr>
              <w:t xml:space="preserve"> Exige que les énumérateurs soient familiers et aient</w:t>
            </w:r>
            <w:r w:rsidRPr="00DC1EFE">
              <w:rPr>
                <w:sz w:val="20"/>
                <w:szCs w:val="20"/>
                <w:lang w:val="fr-FR"/>
              </w:rPr>
              <w:t xml:space="preserve"> des connaissances techniques dans les deux secteurs </w:t>
            </w:r>
          </w:p>
          <w:p w14:paraId="22309BF5" w14:textId="3658C0E5" w:rsidR="00140437" w:rsidRPr="00874DE4" w:rsidRDefault="00140437" w:rsidP="00DC1EFE">
            <w:pPr>
              <w:pStyle w:val="ListParagraph"/>
              <w:ind w:left="284"/>
              <w:rPr>
                <w:sz w:val="20"/>
                <w:szCs w:val="20"/>
                <w:lang w:val="fr-FR"/>
              </w:rPr>
            </w:pPr>
          </w:p>
        </w:tc>
      </w:tr>
      <w:tr w:rsidR="00140437" w:rsidRPr="005365F9" w14:paraId="184D46EF" w14:textId="77777777" w:rsidTr="000A13FB">
        <w:tc>
          <w:tcPr>
            <w:tcW w:w="1843" w:type="dxa"/>
            <w:hideMark/>
          </w:tcPr>
          <w:p w14:paraId="56CB1E50" w14:textId="6FC07A39" w:rsidR="00DC1EFE" w:rsidRPr="00DC1EFE" w:rsidRDefault="00DC1EFE" w:rsidP="00DC1EFE">
            <w:pPr>
              <w:rPr>
                <w:b/>
                <w:sz w:val="20"/>
                <w:szCs w:val="20"/>
                <w:lang w:val="fr-FR"/>
              </w:rPr>
            </w:pPr>
            <w:r w:rsidRPr="00DC1EFE">
              <w:rPr>
                <w:b/>
                <w:sz w:val="20"/>
                <w:szCs w:val="20"/>
                <w:lang w:val="fr-FR"/>
              </w:rPr>
              <w:t xml:space="preserve">Évaluations d’un seul secteur </w:t>
            </w:r>
          </w:p>
          <w:p w14:paraId="4956CB83" w14:textId="77777777" w:rsidR="00DC1EFE" w:rsidRPr="00DC1EFE" w:rsidRDefault="00DC1EFE" w:rsidP="00DC1EFE">
            <w:pPr>
              <w:rPr>
                <w:b/>
                <w:sz w:val="20"/>
                <w:szCs w:val="20"/>
                <w:lang w:val="fr-FR"/>
              </w:rPr>
            </w:pPr>
          </w:p>
          <w:p w14:paraId="691217A9" w14:textId="21CA4260" w:rsidR="00DC1EFE" w:rsidRPr="00DC1EFE" w:rsidRDefault="00DC1EFE" w:rsidP="00DC1EFE">
            <w:pPr>
              <w:rPr>
                <w:b/>
                <w:sz w:val="20"/>
                <w:szCs w:val="20"/>
                <w:lang w:val="fr-FR"/>
              </w:rPr>
            </w:pPr>
            <w:r w:rsidRPr="00DC1EFE">
              <w:rPr>
                <w:b/>
                <w:sz w:val="20"/>
                <w:szCs w:val="20"/>
                <w:lang w:val="fr-FR"/>
              </w:rPr>
              <w:t xml:space="preserve"> - Sans participation de l’autre secteur</w:t>
            </w:r>
          </w:p>
          <w:p w14:paraId="3646FD3B" w14:textId="4EBD7CE2" w:rsidR="00140437" w:rsidRPr="00874DE4" w:rsidRDefault="00140437" w:rsidP="00DC1EFE">
            <w:pPr>
              <w:rPr>
                <w:b/>
                <w:sz w:val="20"/>
                <w:szCs w:val="20"/>
                <w:lang w:val="fr-FR"/>
              </w:rPr>
            </w:pPr>
          </w:p>
        </w:tc>
        <w:tc>
          <w:tcPr>
            <w:tcW w:w="4387" w:type="dxa"/>
            <w:vAlign w:val="center"/>
            <w:hideMark/>
          </w:tcPr>
          <w:p w14:paraId="285F91B5" w14:textId="7432358F" w:rsidR="00DC1EFE" w:rsidRPr="00CC3787" w:rsidRDefault="00DC1EFE" w:rsidP="00CC3787">
            <w:pPr>
              <w:pStyle w:val="ListParagraph"/>
              <w:numPr>
                <w:ilvl w:val="0"/>
                <w:numId w:val="12"/>
              </w:numPr>
              <w:ind w:left="284" w:hanging="284"/>
              <w:rPr>
                <w:sz w:val="20"/>
                <w:szCs w:val="20"/>
                <w:lang w:val="fr-FR"/>
              </w:rPr>
            </w:pPr>
            <w:proofErr w:type="spellStart"/>
            <w:r w:rsidRPr="00DC1EFE">
              <w:rPr>
                <w:sz w:val="20"/>
                <w:szCs w:val="20"/>
                <w:lang w:val="fr-FR"/>
              </w:rPr>
              <w:lastRenderedPageBreak/>
              <w:t>Peut êt</w:t>
            </w:r>
            <w:r w:rsidRPr="00CC3787">
              <w:rPr>
                <w:sz w:val="20"/>
                <w:szCs w:val="20"/>
                <w:lang w:val="fr-FR"/>
              </w:rPr>
              <w:t>re</w:t>
            </w:r>
            <w:proofErr w:type="spellEnd"/>
            <w:r w:rsidRPr="00CC3787">
              <w:rPr>
                <w:sz w:val="20"/>
                <w:szCs w:val="20"/>
                <w:lang w:val="fr-FR"/>
              </w:rPr>
              <w:t xml:space="preserve"> plus rapide, moins cher et plus facile à faciliter</w:t>
            </w:r>
          </w:p>
          <w:p w14:paraId="756583E6" w14:textId="78911FBE" w:rsidR="00DC1EFE" w:rsidRPr="006618E2" w:rsidRDefault="00DC1EFE" w:rsidP="00CC3787">
            <w:pPr>
              <w:pStyle w:val="ListParagraph"/>
              <w:numPr>
                <w:ilvl w:val="0"/>
                <w:numId w:val="12"/>
              </w:numPr>
              <w:ind w:left="284" w:hanging="284"/>
              <w:rPr>
                <w:sz w:val="20"/>
                <w:szCs w:val="20"/>
                <w:lang w:val="fr-FR"/>
              </w:rPr>
            </w:pPr>
            <w:r w:rsidRPr="00CC3787">
              <w:rPr>
                <w:sz w:val="20"/>
                <w:szCs w:val="20"/>
                <w:lang w:val="fr-FR"/>
              </w:rPr>
              <w:lastRenderedPageBreak/>
              <w:t xml:space="preserve"> </w:t>
            </w:r>
            <w:r w:rsidRPr="006618E2">
              <w:rPr>
                <w:sz w:val="20"/>
                <w:szCs w:val="20"/>
                <w:lang w:val="fr-FR"/>
              </w:rPr>
              <w:t xml:space="preserve">L’outil d’évaluation peut répondre </w:t>
            </w:r>
            <w:r w:rsidR="009A7FE1" w:rsidRPr="006618E2">
              <w:rPr>
                <w:sz w:val="20"/>
                <w:szCs w:val="20"/>
                <w:lang w:val="fr-FR"/>
              </w:rPr>
              <w:t>à des questions</w:t>
            </w:r>
            <w:r w:rsidRPr="006618E2">
              <w:rPr>
                <w:sz w:val="20"/>
                <w:szCs w:val="20"/>
                <w:lang w:val="fr-FR"/>
              </w:rPr>
              <w:t xml:space="preserve"> plus détaillées pour le secteur, afin de générer une analyse plus riche</w:t>
            </w:r>
          </w:p>
          <w:p w14:paraId="528202C5" w14:textId="3EBBC9B4" w:rsidR="00DC1EFE" w:rsidRPr="006618E2" w:rsidRDefault="00DC1EFE" w:rsidP="00CC3787">
            <w:pPr>
              <w:pStyle w:val="ListParagraph"/>
              <w:numPr>
                <w:ilvl w:val="0"/>
                <w:numId w:val="12"/>
              </w:numPr>
              <w:ind w:left="284" w:hanging="284"/>
              <w:rPr>
                <w:sz w:val="20"/>
                <w:szCs w:val="20"/>
                <w:lang w:val="fr-FR"/>
              </w:rPr>
            </w:pPr>
            <w:r w:rsidRPr="006618E2">
              <w:rPr>
                <w:sz w:val="20"/>
                <w:szCs w:val="20"/>
                <w:lang w:val="fr-FR"/>
              </w:rPr>
              <w:t>Permet au secteur d’explorer des lacunes spécifiques en profondeur en matière de données</w:t>
            </w:r>
          </w:p>
          <w:p w14:paraId="07F46D5A" w14:textId="272BEB95" w:rsidR="00140437" w:rsidRPr="009A7FE1" w:rsidRDefault="00DC1EFE" w:rsidP="00CC3787">
            <w:pPr>
              <w:pStyle w:val="ListParagraph"/>
              <w:numPr>
                <w:ilvl w:val="0"/>
                <w:numId w:val="12"/>
              </w:numPr>
              <w:ind w:left="284" w:hanging="284"/>
              <w:rPr>
                <w:sz w:val="20"/>
                <w:szCs w:val="20"/>
                <w:lang w:val="fr-FR"/>
              </w:rPr>
            </w:pPr>
            <w:r w:rsidRPr="006618E2">
              <w:rPr>
                <w:sz w:val="20"/>
                <w:szCs w:val="20"/>
                <w:lang w:val="fr-FR"/>
              </w:rPr>
              <w:t>Les énumérateurs peuvent n’avoir besoin que de connaissances techniques dans un secteur, ce qui facilite</w:t>
            </w:r>
            <w:r w:rsidRPr="00DC1EFE">
              <w:rPr>
                <w:sz w:val="20"/>
                <w:szCs w:val="20"/>
                <w:lang w:val="fr-FR"/>
              </w:rPr>
              <w:t xml:space="preserve"> le recrutement</w:t>
            </w:r>
            <w:r w:rsidR="009A7FE1">
              <w:rPr>
                <w:sz w:val="20"/>
                <w:szCs w:val="20"/>
                <w:lang w:val="fr-FR"/>
              </w:rPr>
              <w:t xml:space="preserve"> </w:t>
            </w:r>
          </w:p>
        </w:tc>
        <w:tc>
          <w:tcPr>
            <w:tcW w:w="4387" w:type="dxa"/>
            <w:vAlign w:val="center"/>
            <w:hideMark/>
          </w:tcPr>
          <w:p w14:paraId="78AA8F18" w14:textId="453D942D" w:rsidR="009A7FE1" w:rsidRPr="00CC3787" w:rsidRDefault="009A7FE1" w:rsidP="00CC3787">
            <w:pPr>
              <w:pStyle w:val="ListParagraph"/>
              <w:numPr>
                <w:ilvl w:val="0"/>
                <w:numId w:val="12"/>
              </w:numPr>
              <w:ind w:left="284" w:hanging="284"/>
              <w:rPr>
                <w:sz w:val="20"/>
                <w:szCs w:val="20"/>
                <w:lang w:val="fr-FR"/>
              </w:rPr>
            </w:pPr>
            <w:r w:rsidRPr="00CC3787">
              <w:rPr>
                <w:sz w:val="20"/>
                <w:szCs w:val="20"/>
                <w:lang w:val="fr-FR"/>
              </w:rPr>
              <w:lastRenderedPageBreak/>
              <w:t xml:space="preserve">Si les deux secteurs effectuent des évaluations sectorielles uniques, les ressources humaines </w:t>
            </w:r>
            <w:r w:rsidRPr="00CC3787">
              <w:rPr>
                <w:sz w:val="20"/>
                <w:szCs w:val="20"/>
                <w:lang w:val="fr-FR"/>
              </w:rPr>
              <w:lastRenderedPageBreak/>
              <w:t>et financières requises peuvent être plus élevées</w:t>
            </w:r>
          </w:p>
          <w:p w14:paraId="0C45922A" w14:textId="60109ED7" w:rsidR="009A7FE1" w:rsidRPr="00CC3787" w:rsidRDefault="009A7FE1" w:rsidP="00CC3787">
            <w:pPr>
              <w:pStyle w:val="ListParagraph"/>
              <w:numPr>
                <w:ilvl w:val="0"/>
                <w:numId w:val="12"/>
              </w:numPr>
              <w:ind w:left="284" w:hanging="284"/>
              <w:rPr>
                <w:sz w:val="20"/>
                <w:szCs w:val="20"/>
                <w:lang w:val="en-GB"/>
              </w:rPr>
            </w:pPr>
            <w:proofErr w:type="spellStart"/>
            <w:r w:rsidRPr="00CC3787">
              <w:rPr>
                <w:sz w:val="20"/>
                <w:szCs w:val="20"/>
                <w:lang w:val="en-GB"/>
              </w:rPr>
              <w:t>L’analyse</w:t>
            </w:r>
            <w:proofErr w:type="spellEnd"/>
            <w:r w:rsidRPr="00CC3787">
              <w:rPr>
                <w:sz w:val="20"/>
                <w:szCs w:val="20"/>
                <w:lang w:val="en-GB"/>
              </w:rPr>
              <w:t xml:space="preserve"> </w:t>
            </w:r>
            <w:proofErr w:type="spellStart"/>
            <w:r w:rsidRPr="00CC3787">
              <w:rPr>
                <w:sz w:val="20"/>
                <w:szCs w:val="20"/>
                <w:lang w:val="en-GB"/>
              </w:rPr>
              <w:t>conjointe</w:t>
            </w:r>
            <w:proofErr w:type="spellEnd"/>
            <w:r w:rsidRPr="00CC3787">
              <w:rPr>
                <w:sz w:val="20"/>
                <w:szCs w:val="20"/>
                <w:lang w:val="en-GB"/>
              </w:rPr>
              <w:t xml:space="preserve"> ne </w:t>
            </w:r>
            <w:proofErr w:type="spellStart"/>
            <w:r w:rsidRPr="00CC3787">
              <w:rPr>
                <w:sz w:val="20"/>
                <w:szCs w:val="20"/>
                <w:lang w:val="en-GB"/>
              </w:rPr>
              <w:t>peut</w:t>
            </w:r>
            <w:proofErr w:type="spellEnd"/>
            <w:r w:rsidRPr="00CC3787">
              <w:rPr>
                <w:sz w:val="20"/>
                <w:szCs w:val="20"/>
                <w:lang w:val="en-GB"/>
              </w:rPr>
              <w:t xml:space="preserve"> être </w:t>
            </w:r>
          </w:p>
          <w:p w14:paraId="38719A61" w14:textId="1AD3F250" w:rsidR="009A7FE1" w:rsidRPr="006618E2" w:rsidRDefault="00ED297A" w:rsidP="00CC3787">
            <w:pPr>
              <w:pStyle w:val="ListParagraph"/>
              <w:numPr>
                <w:ilvl w:val="0"/>
                <w:numId w:val="12"/>
              </w:numPr>
              <w:ind w:left="284" w:hanging="284"/>
              <w:rPr>
                <w:sz w:val="20"/>
                <w:szCs w:val="20"/>
                <w:lang w:val="fr-FR"/>
              </w:rPr>
            </w:pPr>
            <w:r w:rsidRPr="006618E2">
              <w:rPr>
                <w:sz w:val="20"/>
                <w:szCs w:val="20"/>
                <w:lang w:val="fr-FR"/>
              </w:rPr>
              <w:t>Prioritaire</w:t>
            </w:r>
            <w:r w:rsidR="009A7FE1" w:rsidRPr="006618E2">
              <w:rPr>
                <w:sz w:val="20"/>
                <w:szCs w:val="20"/>
                <w:lang w:val="fr-FR"/>
              </w:rPr>
              <w:t>, et les besoins interdépendants des enfants peuvent être analysés superficiellement s’ils sont évalués séparément (par exemple, les risques de protection de l’enfance qui créent des obstacles à l’éducation ou les obstacles à l’éducation qui créent ou exacerbent les risques de protection de l’enfance)</w:t>
            </w:r>
          </w:p>
          <w:p w14:paraId="793C5D51" w14:textId="0660BAEC" w:rsidR="009A7FE1" w:rsidRPr="006618E2" w:rsidRDefault="009A7FE1" w:rsidP="00CC3787">
            <w:pPr>
              <w:pStyle w:val="ListParagraph"/>
              <w:numPr>
                <w:ilvl w:val="0"/>
                <w:numId w:val="12"/>
              </w:numPr>
              <w:ind w:left="284" w:hanging="284"/>
              <w:rPr>
                <w:sz w:val="20"/>
                <w:szCs w:val="20"/>
                <w:lang w:val="fr-FR"/>
              </w:rPr>
            </w:pPr>
            <w:r w:rsidRPr="006618E2">
              <w:rPr>
                <w:sz w:val="20"/>
                <w:szCs w:val="20"/>
                <w:lang w:val="fr-FR"/>
              </w:rPr>
              <w:t>Les occasions d’identifier les domaines de collaboration et de programmation intégrée peuvent être manquées</w:t>
            </w:r>
          </w:p>
          <w:p w14:paraId="4713B82A" w14:textId="6C4B2B8D" w:rsidR="00140437" w:rsidRPr="009A7FE1" w:rsidRDefault="009A7FE1" w:rsidP="00CC3787">
            <w:pPr>
              <w:pStyle w:val="ListParagraph"/>
              <w:numPr>
                <w:ilvl w:val="0"/>
                <w:numId w:val="12"/>
              </w:numPr>
              <w:ind w:left="284" w:hanging="284"/>
              <w:rPr>
                <w:sz w:val="20"/>
                <w:szCs w:val="20"/>
                <w:lang w:val="fr-FR"/>
              </w:rPr>
            </w:pPr>
            <w:r w:rsidRPr="006618E2">
              <w:rPr>
                <w:sz w:val="20"/>
                <w:szCs w:val="20"/>
                <w:lang w:val="fr-FR"/>
              </w:rPr>
              <w:t xml:space="preserve"> La même population pourrait se poser deux fois des questions</w:t>
            </w:r>
            <w:r w:rsidRPr="009A7FE1">
              <w:rPr>
                <w:sz w:val="20"/>
                <w:szCs w:val="20"/>
                <w:lang w:val="fr-FR"/>
              </w:rPr>
              <w:t xml:space="preserve"> qui peuvent être similaires </w:t>
            </w:r>
          </w:p>
          <w:p w14:paraId="21536B6F" w14:textId="2F21F1C7" w:rsidR="00140437" w:rsidRPr="00874DE4" w:rsidRDefault="00140437" w:rsidP="00320E53">
            <w:pPr>
              <w:pStyle w:val="ListParagraph"/>
              <w:ind w:left="284"/>
              <w:rPr>
                <w:sz w:val="20"/>
                <w:szCs w:val="20"/>
                <w:lang w:val="fr-FR"/>
              </w:rPr>
            </w:pPr>
          </w:p>
        </w:tc>
      </w:tr>
      <w:tr w:rsidR="005435C0" w:rsidRPr="005365F9" w14:paraId="2AC16CD0" w14:textId="77777777" w:rsidTr="000A13FB">
        <w:tc>
          <w:tcPr>
            <w:tcW w:w="1843" w:type="dxa"/>
          </w:tcPr>
          <w:p w14:paraId="0F7F958D" w14:textId="2087F810" w:rsidR="00320E53" w:rsidRPr="00320E53" w:rsidRDefault="00320E53" w:rsidP="00320E53">
            <w:pPr>
              <w:rPr>
                <w:b/>
                <w:sz w:val="20"/>
                <w:szCs w:val="20"/>
                <w:lang w:val="fr-FR"/>
              </w:rPr>
            </w:pPr>
            <w:r w:rsidRPr="00320E53">
              <w:rPr>
                <w:b/>
                <w:sz w:val="20"/>
                <w:szCs w:val="20"/>
                <w:lang w:val="fr-FR"/>
              </w:rPr>
              <w:lastRenderedPageBreak/>
              <w:t xml:space="preserve">Évaluations d’un seul secteur </w:t>
            </w:r>
          </w:p>
          <w:p w14:paraId="2C990E20" w14:textId="77777777" w:rsidR="00320E53" w:rsidRPr="00320E53" w:rsidRDefault="00320E53" w:rsidP="00320E53">
            <w:pPr>
              <w:rPr>
                <w:b/>
                <w:sz w:val="20"/>
                <w:szCs w:val="20"/>
                <w:lang w:val="fr-FR"/>
              </w:rPr>
            </w:pPr>
          </w:p>
          <w:p w14:paraId="7CD0816C" w14:textId="5CA43C95" w:rsidR="005435C0" w:rsidRPr="00320E53" w:rsidRDefault="00320E53" w:rsidP="005435C0">
            <w:pPr>
              <w:rPr>
                <w:b/>
                <w:i/>
                <w:iCs/>
                <w:sz w:val="20"/>
                <w:szCs w:val="20"/>
                <w:lang w:val="fr-FR"/>
              </w:rPr>
            </w:pPr>
            <w:r w:rsidRPr="00320E53">
              <w:rPr>
                <w:b/>
                <w:sz w:val="20"/>
                <w:szCs w:val="20"/>
                <w:lang w:val="fr-FR"/>
              </w:rPr>
              <w:t>- Avec la participation de l’autre secteur (par exemple, en fournissant des éléments d’évaluation /questions, dans la collecte de données, l’analyse)</w:t>
            </w:r>
          </w:p>
          <w:p w14:paraId="4559A73A" w14:textId="77777777" w:rsidR="005435C0" w:rsidRPr="00320E53" w:rsidRDefault="005435C0" w:rsidP="005435C0">
            <w:pPr>
              <w:rPr>
                <w:b/>
                <w:sz w:val="20"/>
                <w:szCs w:val="20"/>
                <w:lang w:val="fr-FR"/>
              </w:rPr>
            </w:pPr>
          </w:p>
        </w:tc>
        <w:tc>
          <w:tcPr>
            <w:tcW w:w="4387" w:type="dxa"/>
            <w:vAlign w:val="center"/>
          </w:tcPr>
          <w:p w14:paraId="2B413412" w14:textId="24C346BF" w:rsidR="00320E53" w:rsidRPr="006618E2" w:rsidRDefault="00320E53" w:rsidP="00CC3787">
            <w:pPr>
              <w:pStyle w:val="ListParagraph"/>
              <w:numPr>
                <w:ilvl w:val="0"/>
                <w:numId w:val="12"/>
              </w:numPr>
              <w:ind w:left="284" w:hanging="284"/>
              <w:rPr>
                <w:sz w:val="20"/>
                <w:szCs w:val="20"/>
                <w:lang w:val="fr-FR"/>
              </w:rPr>
            </w:pPr>
            <w:r w:rsidRPr="00320E53">
              <w:rPr>
                <w:sz w:val="20"/>
                <w:szCs w:val="20"/>
                <w:lang w:val="fr-FR"/>
              </w:rPr>
              <w:t xml:space="preserve">Maximise la possibilité d’une évaluation </w:t>
            </w:r>
            <w:r w:rsidRPr="006618E2">
              <w:rPr>
                <w:sz w:val="20"/>
                <w:szCs w:val="20"/>
                <w:lang w:val="fr-FR"/>
              </w:rPr>
              <w:t>sectorielle unique pour fournir des données utiles à l’autre secteur et d’enrichir les données sectorielles recueillies</w:t>
            </w:r>
          </w:p>
          <w:p w14:paraId="7F77546D" w14:textId="727DCCC6" w:rsidR="00320E53" w:rsidRPr="006618E2" w:rsidRDefault="00320E53" w:rsidP="00CC3787">
            <w:pPr>
              <w:pStyle w:val="ListParagraph"/>
              <w:numPr>
                <w:ilvl w:val="0"/>
                <w:numId w:val="12"/>
              </w:numPr>
              <w:ind w:left="284" w:hanging="284"/>
              <w:rPr>
                <w:sz w:val="20"/>
                <w:szCs w:val="20"/>
                <w:lang w:val="fr-FR"/>
              </w:rPr>
            </w:pPr>
            <w:r w:rsidRPr="006618E2">
              <w:rPr>
                <w:sz w:val="20"/>
                <w:szCs w:val="20"/>
                <w:lang w:val="fr-FR"/>
              </w:rPr>
              <w:t xml:space="preserve"> Faciliter l’analyse conjointe qui enrichit et situe les données sectorielles uniques dans un contexte plus large</w:t>
            </w:r>
          </w:p>
          <w:p w14:paraId="1FEEDB27" w14:textId="2FDE5807" w:rsidR="00320E53" w:rsidRPr="006618E2" w:rsidRDefault="00320E53" w:rsidP="00CC3787">
            <w:pPr>
              <w:pStyle w:val="ListParagraph"/>
              <w:numPr>
                <w:ilvl w:val="0"/>
                <w:numId w:val="12"/>
              </w:numPr>
              <w:ind w:left="284" w:hanging="284"/>
              <w:rPr>
                <w:sz w:val="20"/>
                <w:szCs w:val="20"/>
                <w:lang w:val="fr-FR"/>
              </w:rPr>
            </w:pPr>
            <w:r w:rsidRPr="006618E2">
              <w:rPr>
                <w:sz w:val="20"/>
                <w:szCs w:val="20"/>
                <w:lang w:val="fr-FR"/>
              </w:rPr>
              <w:t>Si un secteur n’a pas accès au budget, il peut apporter des ressources techniques et humaines par l’intermédiaire de l’autre secteur et avoir une (limite) possibilité de recueillir les données dont il a besoin, mais ils sont moins en mesure d’obtenir le contraire</w:t>
            </w:r>
          </w:p>
          <w:p w14:paraId="1B71311E" w14:textId="481BAF53" w:rsidR="00BF6B57" w:rsidRPr="00320E53" w:rsidRDefault="00320E53" w:rsidP="00CC3787">
            <w:pPr>
              <w:pStyle w:val="ListParagraph"/>
              <w:numPr>
                <w:ilvl w:val="0"/>
                <w:numId w:val="12"/>
              </w:numPr>
              <w:ind w:left="284" w:hanging="284"/>
              <w:rPr>
                <w:sz w:val="20"/>
                <w:szCs w:val="20"/>
                <w:lang w:val="fr-FR"/>
              </w:rPr>
            </w:pPr>
            <w:r w:rsidRPr="006618E2">
              <w:rPr>
                <w:sz w:val="20"/>
                <w:szCs w:val="20"/>
                <w:lang w:val="fr-FR"/>
              </w:rPr>
              <w:t xml:space="preserve"> Faciliter l’identification des possibilités de collaboration et de programmation intégrée (p. </w:t>
            </w:r>
            <w:r w:rsidRPr="00320E53">
              <w:rPr>
                <w:sz w:val="20"/>
                <w:szCs w:val="20"/>
                <w:lang w:val="fr-FR"/>
              </w:rPr>
              <w:t xml:space="preserve">ex. références, </w:t>
            </w:r>
            <w:r>
              <w:rPr>
                <w:sz w:val="20"/>
                <w:szCs w:val="20"/>
                <w:lang w:val="fr-FR"/>
              </w:rPr>
              <w:t>partage d’expertise</w:t>
            </w:r>
            <w:r w:rsidRPr="00320E53">
              <w:rPr>
                <w:sz w:val="20"/>
                <w:szCs w:val="20"/>
                <w:lang w:val="fr-FR"/>
              </w:rPr>
              <w:t>, etc.)</w:t>
            </w:r>
          </w:p>
        </w:tc>
        <w:tc>
          <w:tcPr>
            <w:tcW w:w="4387" w:type="dxa"/>
            <w:vAlign w:val="center"/>
          </w:tcPr>
          <w:p w14:paraId="00EC73B7" w14:textId="2F826B51" w:rsidR="00320E53" w:rsidRPr="006618E2" w:rsidRDefault="00320E53" w:rsidP="00CC3787">
            <w:pPr>
              <w:pStyle w:val="ListParagraph"/>
              <w:numPr>
                <w:ilvl w:val="0"/>
                <w:numId w:val="12"/>
              </w:numPr>
              <w:ind w:left="284" w:hanging="284"/>
              <w:rPr>
                <w:sz w:val="20"/>
                <w:szCs w:val="20"/>
                <w:lang w:val="fr-FR"/>
              </w:rPr>
            </w:pPr>
            <w:r w:rsidRPr="006618E2">
              <w:rPr>
                <w:sz w:val="20"/>
                <w:szCs w:val="20"/>
                <w:lang w:val="fr-FR"/>
              </w:rPr>
              <w:t xml:space="preserve">Nécessite (certains) temps pour consulter l’autre secteur afin d’inclure leurs questions clés </w:t>
            </w:r>
          </w:p>
          <w:p w14:paraId="0A1FE948" w14:textId="58AC52FB" w:rsidR="00320E53" w:rsidRPr="00320E53" w:rsidRDefault="00320E53" w:rsidP="00CC3787">
            <w:pPr>
              <w:pStyle w:val="ListParagraph"/>
              <w:numPr>
                <w:ilvl w:val="0"/>
                <w:numId w:val="12"/>
              </w:numPr>
              <w:ind w:left="284" w:hanging="284"/>
              <w:rPr>
                <w:sz w:val="20"/>
                <w:szCs w:val="20"/>
                <w:lang w:val="fr-FR"/>
              </w:rPr>
            </w:pPr>
            <w:r w:rsidRPr="006618E2">
              <w:rPr>
                <w:sz w:val="20"/>
                <w:szCs w:val="20"/>
                <w:lang w:val="fr-FR"/>
              </w:rPr>
              <w:t xml:space="preserve"> Les énumérateurs auraient besoin de connaissances techniques de base pour recueillir</w:t>
            </w:r>
            <w:r w:rsidRPr="00320E53">
              <w:rPr>
                <w:sz w:val="20"/>
                <w:szCs w:val="20"/>
                <w:lang w:val="fr-FR"/>
              </w:rPr>
              <w:t xml:space="preserve"> les données relatives aux questions d’autres secteurs</w:t>
            </w:r>
          </w:p>
          <w:p w14:paraId="6F731EA5" w14:textId="7EC3E5F8" w:rsidR="00320E53" w:rsidRPr="00874DE4" w:rsidRDefault="00320E53" w:rsidP="00CC3787">
            <w:pPr>
              <w:pStyle w:val="ListParagraph"/>
              <w:numPr>
                <w:ilvl w:val="0"/>
                <w:numId w:val="12"/>
              </w:numPr>
              <w:ind w:left="284" w:hanging="284"/>
              <w:rPr>
                <w:sz w:val="20"/>
                <w:szCs w:val="20"/>
                <w:lang w:val="fr-FR"/>
              </w:rPr>
            </w:pPr>
            <w:r w:rsidRPr="00320E53">
              <w:rPr>
                <w:sz w:val="20"/>
                <w:szCs w:val="20"/>
                <w:lang w:val="fr-FR"/>
              </w:rPr>
              <w:t>L’outil d’évaluation peut être (</w:t>
            </w:r>
            <w:r w:rsidRPr="006618E2">
              <w:rPr>
                <w:sz w:val="20"/>
                <w:szCs w:val="20"/>
                <w:lang w:val="fr-FR"/>
              </w:rPr>
              <w:t>légèrement</w:t>
            </w:r>
            <w:r w:rsidRPr="00320E53">
              <w:rPr>
                <w:sz w:val="20"/>
                <w:szCs w:val="20"/>
                <w:lang w:val="fr-FR"/>
              </w:rPr>
              <w:t>) plus long pour inclure les questions clés d’autres secteurs, (légèrement) augmentant le temps et les ressources nécessaires à la collecte des données</w:t>
            </w:r>
          </w:p>
          <w:p w14:paraId="60760597" w14:textId="395BC81D" w:rsidR="005435C0" w:rsidRPr="00874DE4" w:rsidRDefault="005435C0" w:rsidP="00320E53">
            <w:pPr>
              <w:rPr>
                <w:sz w:val="20"/>
                <w:szCs w:val="20"/>
                <w:lang w:val="fr-FR"/>
              </w:rPr>
            </w:pPr>
          </w:p>
        </w:tc>
      </w:tr>
    </w:tbl>
    <w:p w14:paraId="67A70ED8" w14:textId="03FB2A64" w:rsidR="00140437" w:rsidRPr="00874DE4" w:rsidRDefault="00140437" w:rsidP="00140437">
      <w:pPr>
        <w:spacing w:after="0" w:line="240" w:lineRule="auto"/>
        <w:rPr>
          <w:i/>
          <w:lang w:val="fr-FR"/>
        </w:rPr>
      </w:pPr>
    </w:p>
    <w:p w14:paraId="5595FF5D" w14:textId="77777777" w:rsidR="006036A4" w:rsidRPr="00874DE4" w:rsidRDefault="006036A4" w:rsidP="00140437">
      <w:pPr>
        <w:spacing w:after="0" w:line="240" w:lineRule="auto"/>
        <w:rPr>
          <w:i/>
          <w:lang w:val="fr-FR"/>
        </w:rPr>
      </w:pPr>
    </w:p>
    <w:p w14:paraId="17C3A6A6" w14:textId="21A9D1B6" w:rsidR="00396DB5" w:rsidRPr="00320E53" w:rsidRDefault="00140437" w:rsidP="005365F9">
      <w:pPr>
        <w:rPr>
          <w:b/>
          <w:iCs/>
          <w:color w:val="86789C"/>
          <w:lang w:val="fr-FR"/>
        </w:rPr>
      </w:pPr>
      <w:bookmarkStart w:id="4" w:name="Annex5"/>
      <w:r w:rsidRPr="00320E53">
        <w:rPr>
          <w:b/>
          <w:iCs/>
          <w:color w:val="86789C"/>
          <w:lang w:val="fr-FR"/>
        </w:rPr>
        <w:t>Annex</w:t>
      </w:r>
      <w:r w:rsidR="00320E53" w:rsidRPr="00320E53">
        <w:rPr>
          <w:b/>
          <w:iCs/>
          <w:color w:val="86789C"/>
          <w:lang w:val="fr-FR"/>
        </w:rPr>
        <w:t>e</w:t>
      </w:r>
      <w:r w:rsidRPr="00320E53">
        <w:rPr>
          <w:b/>
          <w:iCs/>
          <w:color w:val="86789C"/>
          <w:lang w:val="fr-FR"/>
        </w:rPr>
        <w:t xml:space="preserve"> 5</w:t>
      </w:r>
      <w:r w:rsidR="00396DB5" w:rsidRPr="00320E53">
        <w:rPr>
          <w:b/>
          <w:iCs/>
          <w:color w:val="86789C"/>
          <w:lang w:val="fr-FR"/>
        </w:rPr>
        <w:t xml:space="preserve"> </w:t>
      </w:r>
      <w:bookmarkEnd w:id="4"/>
      <w:r w:rsidR="00320E53" w:rsidRPr="00320E53">
        <w:rPr>
          <w:b/>
          <w:iCs/>
          <w:color w:val="86789C"/>
          <w:lang w:val="fr-FR"/>
        </w:rPr>
        <w:t xml:space="preserve">: Collaboration lors d’évaluations sectorielles uniques  </w:t>
      </w:r>
    </w:p>
    <w:p w14:paraId="0EF17460" w14:textId="2F7CD213" w:rsidR="00140437" w:rsidRPr="003F0CB4" w:rsidRDefault="00396DB5" w:rsidP="00140437">
      <w:pPr>
        <w:spacing w:after="0" w:line="240" w:lineRule="auto"/>
        <w:rPr>
          <w:b/>
          <w:iCs/>
          <w:color w:val="86789C"/>
          <w:lang w:val="fr-FR"/>
        </w:rPr>
      </w:pPr>
      <w:r w:rsidRPr="003F0CB4">
        <w:rPr>
          <w:b/>
          <w:iCs/>
          <w:color w:val="86789C"/>
          <w:lang w:val="fr-FR"/>
        </w:rPr>
        <w:t>Annex</w:t>
      </w:r>
      <w:r w:rsidR="00320E53" w:rsidRPr="003F0CB4">
        <w:rPr>
          <w:b/>
          <w:iCs/>
          <w:color w:val="86789C"/>
          <w:lang w:val="fr-FR"/>
        </w:rPr>
        <w:t>e</w:t>
      </w:r>
      <w:r w:rsidRPr="003F0CB4">
        <w:rPr>
          <w:b/>
          <w:iCs/>
          <w:color w:val="86789C"/>
          <w:lang w:val="fr-FR"/>
        </w:rPr>
        <w:t xml:space="preserve"> 5</w:t>
      </w:r>
      <w:r w:rsidR="00140437" w:rsidRPr="003F0CB4">
        <w:rPr>
          <w:b/>
          <w:iCs/>
          <w:color w:val="86789C"/>
          <w:lang w:val="fr-FR"/>
        </w:rPr>
        <w:t>a</w:t>
      </w:r>
      <w:r w:rsidR="00320E53" w:rsidRPr="003F0CB4">
        <w:rPr>
          <w:b/>
          <w:iCs/>
          <w:color w:val="86789C"/>
          <w:lang w:val="fr-FR"/>
        </w:rPr>
        <w:t xml:space="preserve"> </w:t>
      </w:r>
      <w:r w:rsidR="00140437" w:rsidRPr="003F0CB4">
        <w:rPr>
          <w:b/>
          <w:iCs/>
          <w:color w:val="86789C"/>
          <w:lang w:val="fr-FR"/>
        </w:rPr>
        <w:t>:</w:t>
      </w:r>
      <w:r w:rsidR="00320E53" w:rsidRPr="003F0CB4">
        <w:rPr>
          <w:b/>
          <w:iCs/>
          <w:color w:val="86789C"/>
          <w:lang w:val="fr-FR"/>
        </w:rPr>
        <w:t xml:space="preserve"> </w:t>
      </w:r>
      <w:r w:rsidR="003F0CB4" w:rsidRPr="00CC3787">
        <w:rPr>
          <w:bCs/>
          <w:iCs/>
          <w:color w:val="86789C"/>
          <w:lang w:val="fr-FR"/>
        </w:rPr>
        <w:t>Liste de contrôle pour la collaboration intersectorielle dans l’évaluation et l’analyse des besoins d’un seul secteur</w:t>
      </w:r>
      <w:r w:rsidR="00320E53" w:rsidRPr="00CC3787">
        <w:rPr>
          <w:bCs/>
          <w:iCs/>
          <w:color w:val="86789C"/>
          <w:lang w:val="fr-FR"/>
        </w:rPr>
        <w:t xml:space="preserve">  </w:t>
      </w:r>
      <w:r w:rsidR="00140437" w:rsidRPr="00CC3787">
        <w:rPr>
          <w:bCs/>
          <w:iCs/>
          <w:color w:val="86789C"/>
          <w:lang w:val="fr-FR"/>
        </w:rPr>
        <w:t xml:space="preserve"> </w:t>
      </w:r>
    </w:p>
    <w:p w14:paraId="38213A71" w14:textId="77777777" w:rsidR="003F0CB4" w:rsidRPr="003F0CB4" w:rsidRDefault="003F0CB4" w:rsidP="003F0CB4">
      <w:pPr>
        <w:tabs>
          <w:tab w:val="num" w:pos="720"/>
        </w:tabs>
        <w:spacing w:before="20" w:after="0"/>
        <w:rPr>
          <w:lang w:val="fr-FR"/>
        </w:rPr>
      </w:pPr>
      <w:r w:rsidRPr="003F0CB4">
        <w:rPr>
          <w:lang w:val="fr-FR"/>
        </w:rPr>
        <w:t>Dans le cadre des évaluations des besoins sectoriels, la participation de l’autre secteur par le biais des mesures suivantes améliorera les résultats de l’évaluation au profit des deux secteurs :</w:t>
      </w:r>
    </w:p>
    <w:p w14:paraId="6DCBDF3C" w14:textId="714474EE" w:rsidR="003F0CB4" w:rsidRPr="003F0CB4" w:rsidRDefault="003F0CB4" w:rsidP="003F0CB4">
      <w:pPr>
        <w:tabs>
          <w:tab w:val="num" w:pos="720"/>
        </w:tabs>
        <w:spacing w:before="20" w:after="0"/>
        <w:ind w:left="284" w:hanging="284"/>
        <w:rPr>
          <w:lang w:val="fr-FR"/>
        </w:rPr>
      </w:pPr>
      <w:r>
        <w:rPr>
          <w:lang w:val="fr-FR"/>
        </w:rPr>
        <w:t xml:space="preserve">  </w:t>
      </w:r>
      <w:r w:rsidRPr="003F0CB4">
        <w:rPr>
          <w:lang w:val="fr-FR"/>
        </w:rPr>
        <w:t>•</w:t>
      </w:r>
      <w:r>
        <w:rPr>
          <w:lang w:val="fr-FR"/>
        </w:rPr>
        <w:t xml:space="preserve">  </w:t>
      </w:r>
      <w:r w:rsidRPr="003F0CB4">
        <w:rPr>
          <w:lang w:val="fr-FR"/>
        </w:rPr>
        <w:t xml:space="preserve"> Fournir des </w:t>
      </w:r>
      <w:r>
        <w:rPr>
          <w:lang w:val="fr-FR"/>
        </w:rPr>
        <w:t>commentaires</w:t>
      </w:r>
      <w:r w:rsidRPr="003F0CB4">
        <w:rPr>
          <w:lang w:val="fr-FR"/>
        </w:rPr>
        <w:t xml:space="preserve"> aux questionnaires et à la méthodologie : afin d’intégrer des sujets ou des questions d’intérêt pour l’autre secteur, dans la mesure du possible et pertinentes</w:t>
      </w:r>
    </w:p>
    <w:p w14:paraId="413FE700" w14:textId="34266C6B" w:rsidR="003F0CB4" w:rsidRPr="003F0CB4" w:rsidRDefault="003F0CB4" w:rsidP="003F0CB4">
      <w:pPr>
        <w:tabs>
          <w:tab w:val="num" w:pos="720"/>
        </w:tabs>
        <w:spacing w:before="20" w:after="0"/>
        <w:ind w:left="284" w:hanging="284"/>
        <w:rPr>
          <w:lang w:val="fr-FR"/>
        </w:rPr>
      </w:pPr>
      <w:r>
        <w:rPr>
          <w:lang w:val="fr-FR"/>
        </w:rPr>
        <w:t xml:space="preserve">  </w:t>
      </w:r>
      <w:r w:rsidRPr="003F0CB4">
        <w:rPr>
          <w:lang w:val="fr-FR"/>
        </w:rPr>
        <w:t>•</w:t>
      </w:r>
      <w:r>
        <w:rPr>
          <w:lang w:val="fr-FR"/>
        </w:rPr>
        <w:t xml:space="preserve">  </w:t>
      </w:r>
      <w:r w:rsidRPr="003F0CB4">
        <w:rPr>
          <w:lang w:val="fr-FR"/>
        </w:rPr>
        <w:t xml:space="preserve"> Participation à la collecte de données : les partenaires de l’autre secteur peuvent être des ressources supplémentaires très précieuses, pour accéder à différents secteurs ou à certains groupes de population et encourager l’apprentissage conjoint. Par exemple, la participation des acteurs de la protection de l’enfance aux évaluations de l’éducation peut aider à fournir l’expertise nécessaire pour interroger certains groupes d’enfants et atteindre certains groupes de population vulnérables.  </w:t>
      </w:r>
    </w:p>
    <w:p w14:paraId="4B8DBB8C" w14:textId="3BCF6FE0" w:rsidR="003F0CB4" w:rsidRPr="003F0CB4" w:rsidRDefault="003F0CB4" w:rsidP="003F0CB4">
      <w:pPr>
        <w:tabs>
          <w:tab w:val="num" w:pos="720"/>
        </w:tabs>
        <w:spacing w:before="20" w:after="0"/>
        <w:ind w:left="284" w:hanging="284"/>
        <w:rPr>
          <w:lang w:val="fr-FR"/>
        </w:rPr>
      </w:pPr>
      <w:r>
        <w:rPr>
          <w:lang w:val="fr-FR"/>
        </w:rPr>
        <w:t xml:space="preserve">  </w:t>
      </w:r>
      <w:r w:rsidRPr="003F0CB4">
        <w:rPr>
          <w:lang w:val="fr-FR"/>
        </w:rPr>
        <w:t xml:space="preserve">• </w:t>
      </w:r>
      <w:r>
        <w:rPr>
          <w:lang w:val="fr-FR"/>
        </w:rPr>
        <w:t xml:space="preserve">  </w:t>
      </w:r>
      <w:r w:rsidRPr="003F0CB4">
        <w:rPr>
          <w:lang w:val="fr-FR"/>
        </w:rPr>
        <w:t>Renvois pendant la collecte des données : s’assurer</w:t>
      </w:r>
      <w:r>
        <w:rPr>
          <w:lang w:val="fr-FR"/>
        </w:rPr>
        <w:t xml:space="preserve"> que les mécanismes de référence</w:t>
      </w:r>
      <w:r w:rsidRPr="003F0CB4">
        <w:rPr>
          <w:lang w:val="fr-FR"/>
        </w:rPr>
        <w:t xml:space="preserve"> sont intégrés à l’évaluation et envisager une approche collaborative lorsqu’ils le font (p. ex., si les acteurs de l’éducation effectuent des évaluations auprès d’enfants non scolarisés qui pourraient avoir besoin d’être dirigés vers des acteurs de la protection de l’enfance).</w:t>
      </w:r>
    </w:p>
    <w:p w14:paraId="1760CDD1" w14:textId="54772CD7" w:rsidR="003F0CB4" w:rsidRPr="003F0CB4" w:rsidRDefault="003F0CB4" w:rsidP="003F0CB4">
      <w:pPr>
        <w:tabs>
          <w:tab w:val="num" w:pos="720"/>
        </w:tabs>
        <w:spacing w:before="20" w:after="0"/>
        <w:ind w:left="284" w:hanging="284"/>
        <w:rPr>
          <w:lang w:val="fr-FR"/>
        </w:rPr>
      </w:pPr>
      <w:r>
        <w:rPr>
          <w:lang w:val="fr-FR"/>
        </w:rPr>
        <w:lastRenderedPageBreak/>
        <w:t xml:space="preserve">  </w:t>
      </w:r>
      <w:r w:rsidRPr="003F0CB4">
        <w:rPr>
          <w:lang w:val="fr-FR"/>
        </w:rPr>
        <w:t>•</w:t>
      </w:r>
      <w:r>
        <w:rPr>
          <w:lang w:val="fr-FR"/>
        </w:rPr>
        <w:t xml:space="preserve">  </w:t>
      </w:r>
      <w:r w:rsidRPr="003F0CB4">
        <w:rPr>
          <w:lang w:val="fr-FR"/>
        </w:rPr>
        <w:t xml:space="preserve"> Effectuer une analyse conjointe : des ateliers d’analyse conjoints avec des membres des deux secteurs peuvent encourager d’autres interprétations des résultats et établir une compréhension commune de la situation entre les secteurs. </w:t>
      </w:r>
    </w:p>
    <w:p w14:paraId="113F0C4C" w14:textId="7D801661" w:rsidR="00140437" w:rsidRPr="003F0CB4" w:rsidRDefault="003F0CB4" w:rsidP="003F0CB4">
      <w:pPr>
        <w:tabs>
          <w:tab w:val="num" w:pos="720"/>
        </w:tabs>
        <w:spacing w:before="20" w:after="0"/>
        <w:ind w:left="284" w:hanging="284"/>
        <w:rPr>
          <w:iCs/>
          <w:lang w:val="fr-FR"/>
        </w:rPr>
      </w:pPr>
      <w:r>
        <w:rPr>
          <w:lang w:val="fr-FR"/>
        </w:rPr>
        <w:t xml:space="preserve">  </w:t>
      </w:r>
      <w:r w:rsidRPr="003F0CB4">
        <w:rPr>
          <w:lang w:val="fr-FR"/>
        </w:rPr>
        <w:t xml:space="preserve">• </w:t>
      </w:r>
      <w:r>
        <w:rPr>
          <w:lang w:val="fr-FR"/>
        </w:rPr>
        <w:t xml:space="preserve">  </w:t>
      </w:r>
      <w:r w:rsidRPr="003F0CB4">
        <w:rPr>
          <w:lang w:val="fr-FR"/>
        </w:rPr>
        <w:t>Utiliser l’analyse pour éclairer la programmation : travailler ensemble pour identifier les possibilités de programmation intégrée, en fonction des résultats de l’évaluation</w:t>
      </w:r>
      <w:r w:rsidR="00140437" w:rsidRPr="003F0CB4">
        <w:rPr>
          <w:iCs/>
          <w:lang w:val="fr-FR"/>
        </w:rPr>
        <w:t xml:space="preserve"> </w:t>
      </w:r>
    </w:p>
    <w:p w14:paraId="13FAFD9C" w14:textId="77777777" w:rsidR="00140437" w:rsidRPr="003F0CB4" w:rsidRDefault="00140437" w:rsidP="00140437">
      <w:pPr>
        <w:spacing w:after="0" w:line="240" w:lineRule="auto"/>
        <w:rPr>
          <w:b/>
          <w:i/>
          <w:color w:val="9CC2E5" w:themeColor="accent5" w:themeTint="99"/>
          <w:lang w:val="fr-FR"/>
        </w:rPr>
      </w:pPr>
    </w:p>
    <w:p w14:paraId="1EE01221" w14:textId="0CE49079" w:rsidR="00140437" w:rsidRPr="00CC3787" w:rsidRDefault="00140437" w:rsidP="00140437">
      <w:pPr>
        <w:spacing w:after="0" w:line="240" w:lineRule="auto"/>
        <w:rPr>
          <w:bCs/>
          <w:iCs/>
          <w:color w:val="86789C"/>
          <w:lang w:val="fr-FR"/>
        </w:rPr>
      </w:pPr>
      <w:r w:rsidRPr="003F0CB4">
        <w:rPr>
          <w:b/>
          <w:iCs/>
          <w:color w:val="86789C"/>
          <w:lang w:val="fr-FR"/>
        </w:rPr>
        <w:t>Annex</w:t>
      </w:r>
      <w:r w:rsidR="003F0CB4" w:rsidRPr="003F0CB4">
        <w:rPr>
          <w:b/>
          <w:iCs/>
          <w:color w:val="86789C"/>
          <w:lang w:val="fr-FR"/>
        </w:rPr>
        <w:t>e</w:t>
      </w:r>
      <w:r w:rsidRPr="003F0CB4">
        <w:rPr>
          <w:b/>
          <w:iCs/>
          <w:color w:val="86789C"/>
          <w:lang w:val="fr-FR"/>
        </w:rPr>
        <w:t xml:space="preserve"> 5b</w:t>
      </w:r>
      <w:r w:rsidR="003F0CB4" w:rsidRPr="003F0CB4">
        <w:rPr>
          <w:b/>
          <w:iCs/>
          <w:color w:val="86789C"/>
          <w:lang w:val="fr-FR"/>
        </w:rPr>
        <w:t xml:space="preserve"> </w:t>
      </w:r>
      <w:r w:rsidRPr="003F0CB4">
        <w:rPr>
          <w:b/>
          <w:iCs/>
          <w:color w:val="86789C"/>
          <w:lang w:val="fr-FR"/>
        </w:rPr>
        <w:t>:</w:t>
      </w:r>
      <w:r w:rsidR="003F0CB4" w:rsidRPr="003F0CB4">
        <w:rPr>
          <w:b/>
          <w:iCs/>
          <w:color w:val="86789C"/>
          <w:lang w:val="fr-FR"/>
        </w:rPr>
        <w:t xml:space="preserve"> </w:t>
      </w:r>
      <w:r w:rsidR="003F0CB4" w:rsidRPr="00CC3787">
        <w:rPr>
          <w:bCs/>
          <w:iCs/>
          <w:color w:val="86789C"/>
          <w:lang w:val="fr-FR"/>
        </w:rPr>
        <w:t>Exemple de questions du P</w:t>
      </w:r>
      <w:r w:rsidR="00385B9E">
        <w:rPr>
          <w:bCs/>
          <w:iCs/>
          <w:color w:val="86789C"/>
          <w:lang w:val="fr-FR"/>
        </w:rPr>
        <w:t>E</w:t>
      </w:r>
      <w:r w:rsidR="003F0CB4" w:rsidRPr="00CC3787">
        <w:rPr>
          <w:bCs/>
          <w:iCs/>
          <w:color w:val="86789C"/>
          <w:lang w:val="fr-FR"/>
        </w:rPr>
        <w:t xml:space="preserve"> incluses dans l’évaluation des besoins en éducation (de Libye JENA)</w:t>
      </w:r>
    </w:p>
    <w:p w14:paraId="538AE7B6" w14:textId="3D826033" w:rsidR="003F0CB4" w:rsidRPr="003F0CB4" w:rsidRDefault="003F0CB4" w:rsidP="003F0CB4">
      <w:pPr>
        <w:numPr>
          <w:ilvl w:val="0"/>
          <w:numId w:val="14"/>
        </w:numPr>
        <w:spacing w:after="0" w:line="240" w:lineRule="auto"/>
        <w:rPr>
          <w:iCs/>
          <w:lang w:val="fr-FR"/>
        </w:rPr>
      </w:pPr>
      <w:r w:rsidRPr="003F0CB4">
        <w:rPr>
          <w:iCs/>
          <w:lang w:val="fr-FR"/>
        </w:rPr>
        <w:t xml:space="preserve"> Existe-t-il des mécanismes de déclaration et d’aiguillage existants dans les </w:t>
      </w:r>
      <w:r w:rsidR="000C10A8" w:rsidRPr="003F0CB4">
        <w:rPr>
          <w:iCs/>
          <w:lang w:val="fr-FR"/>
        </w:rPr>
        <w:t>écoles ?</w:t>
      </w:r>
    </w:p>
    <w:p w14:paraId="12E81659" w14:textId="61AA1780" w:rsidR="003F0CB4" w:rsidRPr="003F0CB4" w:rsidRDefault="003F0CB4" w:rsidP="009B4850">
      <w:pPr>
        <w:spacing w:after="0" w:line="240" w:lineRule="auto"/>
        <w:ind w:left="720"/>
        <w:rPr>
          <w:iCs/>
          <w:lang w:val="fr-FR"/>
        </w:rPr>
      </w:pPr>
      <w:r w:rsidRPr="003F0CB4">
        <w:rPr>
          <w:iCs/>
          <w:lang w:val="fr-FR"/>
        </w:rPr>
        <w:tab/>
      </w:r>
      <w:r w:rsidR="009B4850">
        <w:rPr>
          <w:iCs/>
          <w:lang w:val="fr-FR"/>
        </w:rPr>
        <w:t xml:space="preserve">A. </w:t>
      </w:r>
      <w:r w:rsidRPr="003F0CB4">
        <w:rPr>
          <w:iCs/>
          <w:lang w:val="fr-FR"/>
        </w:rPr>
        <w:t xml:space="preserve">Dans l’affirmative, la déclaration est-elle </w:t>
      </w:r>
      <w:r w:rsidR="000C10A8" w:rsidRPr="003F0CB4">
        <w:rPr>
          <w:iCs/>
          <w:lang w:val="fr-FR"/>
        </w:rPr>
        <w:t>obligatoire ?</w:t>
      </w:r>
    </w:p>
    <w:p w14:paraId="6CAE1704" w14:textId="0E357A4B" w:rsidR="003F0CB4" w:rsidRPr="003F0CB4" w:rsidRDefault="003F0CB4" w:rsidP="003F0CB4">
      <w:pPr>
        <w:numPr>
          <w:ilvl w:val="0"/>
          <w:numId w:val="14"/>
        </w:numPr>
        <w:spacing w:after="0" w:line="240" w:lineRule="auto"/>
        <w:rPr>
          <w:iCs/>
          <w:lang w:val="fr-FR"/>
        </w:rPr>
      </w:pPr>
      <w:r w:rsidRPr="003F0CB4">
        <w:rPr>
          <w:iCs/>
          <w:lang w:val="fr-FR"/>
        </w:rPr>
        <w:t xml:space="preserve">Qui est responsable de la déclaration au niveau scolaire et qui fournit de l’aide aux enfants touchés par la </w:t>
      </w:r>
      <w:r w:rsidR="000C10A8" w:rsidRPr="003F0CB4">
        <w:rPr>
          <w:iCs/>
          <w:lang w:val="fr-FR"/>
        </w:rPr>
        <w:t>violence ?</w:t>
      </w:r>
    </w:p>
    <w:p w14:paraId="6DB5E79E" w14:textId="36F78F8F" w:rsidR="003F0CB4" w:rsidRPr="003F0CB4" w:rsidRDefault="003F0CB4" w:rsidP="003F0CB4">
      <w:pPr>
        <w:numPr>
          <w:ilvl w:val="0"/>
          <w:numId w:val="14"/>
        </w:numPr>
        <w:spacing w:after="0" w:line="240" w:lineRule="auto"/>
        <w:rPr>
          <w:iCs/>
          <w:lang w:val="fr-FR"/>
        </w:rPr>
      </w:pPr>
      <w:r w:rsidRPr="003F0CB4">
        <w:rPr>
          <w:iCs/>
          <w:lang w:val="fr-FR"/>
        </w:rPr>
        <w:t xml:space="preserve"> Qu’est-ce qui est disponible (c’est-à-dire aux connaissances des enseignants) en termes d’assistance (MHPSS, référence, etc.</w:t>
      </w:r>
      <w:r w:rsidR="000C10A8" w:rsidRPr="003F0CB4">
        <w:rPr>
          <w:iCs/>
          <w:lang w:val="fr-FR"/>
        </w:rPr>
        <w:t>) ?</w:t>
      </w:r>
    </w:p>
    <w:p w14:paraId="76837947" w14:textId="1DF2CB99" w:rsidR="003F0CB4" w:rsidRPr="003F0CB4" w:rsidRDefault="003F0CB4" w:rsidP="003F0CB4">
      <w:pPr>
        <w:numPr>
          <w:ilvl w:val="0"/>
          <w:numId w:val="14"/>
        </w:numPr>
        <w:spacing w:after="0" w:line="240" w:lineRule="auto"/>
        <w:rPr>
          <w:iCs/>
          <w:lang w:val="fr-FR"/>
        </w:rPr>
      </w:pPr>
      <w:r w:rsidRPr="003F0CB4">
        <w:rPr>
          <w:iCs/>
          <w:lang w:val="fr-FR"/>
        </w:rPr>
        <w:t xml:space="preserve"> Y a-t-il des services pss/pfa existants disponibles dans les écoles (# des conseillers/travailleurs sociaux disponibles de MHPSS, des formations qu’ils ont reçues/ par qui, # des filles et des garçons ont reçu le MHPSS dans les écoles ?</w:t>
      </w:r>
    </w:p>
    <w:p w14:paraId="2CD093C0" w14:textId="28E57F28" w:rsidR="003F0CB4" w:rsidRPr="009B4850" w:rsidRDefault="003F0CB4" w:rsidP="003F0CB4">
      <w:pPr>
        <w:numPr>
          <w:ilvl w:val="0"/>
          <w:numId w:val="14"/>
        </w:numPr>
        <w:spacing w:after="0" w:line="240" w:lineRule="auto"/>
        <w:rPr>
          <w:iCs/>
          <w:lang w:val="fr-FR"/>
        </w:rPr>
      </w:pPr>
      <w:r w:rsidRPr="003F0CB4">
        <w:rPr>
          <w:iCs/>
          <w:lang w:val="fr-FR"/>
        </w:rPr>
        <w:t xml:space="preserve"> Quelles sont les principales causes du décrochage des enfants et des </w:t>
      </w:r>
      <w:r w:rsidR="000C10A8" w:rsidRPr="003F0CB4">
        <w:rPr>
          <w:iCs/>
          <w:lang w:val="fr-FR"/>
        </w:rPr>
        <w:t>adolescents ?</w:t>
      </w:r>
      <w:r w:rsidRPr="003F0CB4">
        <w:rPr>
          <w:iCs/>
          <w:lang w:val="fr-FR"/>
        </w:rPr>
        <w:t xml:space="preserve"> </w:t>
      </w:r>
      <w:r w:rsidRPr="009B4850">
        <w:rPr>
          <w:iCs/>
          <w:lang w:val="fr-FR"/>
        </w:rPr>
        <w:t>(</w:t>
      </w:r>
      <w:r w:rsidR="000C10A8" w:rsidRPr="009B4850">
        <w:rPr>
          <w:iCs/>
          <w:lang w:val="fr-FR"/>
        </w:rPr>
        <w:t>Désagrégation</w:t>
      </w:r>
      <w:r w:rsidRPr="009B4850">
        <w:rPr>
          <w:iCs/>
          <w:lang w:val="fr-FR"/>
        </w:rPr>
        <w:t xml:space="preserve"> pour les filles et les garçons)  </w:t>
      </w:r>
    </w:p>
    <w:p w14:paraId="15244845" w14:textId="657253C4" w:rsidR="00140437" w:rsidRPr="003F0CB4" w:rsidRDefault="003F0CB4" w:rsidP="003F0CB4">
      <w:pPr>
        <w:numPr>
          <w:ilvl w:val="0"/>
          <w:numId w:val="14"/>
        </w:numPr>
        <w:spacing w:after="0" w:line="240" w:lineRule="auto"/>
        <w:rPr>
          <w:iCs/>
          <w:lang w:val="fr-FR"/>
        </w:rPr>
      </w:pPr>
      <w:r w:rsidRPr="003F0CB4">
        <w:rPr>
          <w:iCs/>
          <w:lang w:val="fr-FR"/>
        </w:rPr>
        <w:t xml:space="preserve"> Quels sont les principaux obstacles pour les enfants déplacés/ les enfants migrants / les enfants de la communauté d’accueil à accéder à </w:t>
      </w:r>
      <w:r w:rsidR="000C10A8" w:rsidRPr="003F0CB4">
        <w:rPr>
          <w:iCs/>
          <w:lang w:val="fr-FR"/>
        </w:rPr>
        <w:t>l’éducation ?</w:t>
      </w:r>
      <w:r w:rsidRPr="003F0CB4">
        <w:rPr>
          <w:iCs/>
          <w:lang w:val="fr-FR"/>
        </w:rPr>
        <w:t xml:space="preserve"> et quel soutien leur faut-il pour accéder ou retourner à </w:t>
      </w:r>
      <w:r w:rsidR="000C10A8" w:rsidRPr="003F0CB4">
        <w:rPr>
          <w:iCs/>
          <w:lang w:val="fr-FR"/>
        </w:rPr>
        <w:t>l’école ?</w:t>
      </w:r>
      <w:r w:rsidR="00ED297A">
        <w:rPr>
          <w:iCs/>
          <w:lang w:val="fr-FR"/>
        </w:rPr>
        <w:t xml:space="preserve"> </w:t>
      </w:r>
    </w:p>
    <w:p w14:paraId="40544E17" w14:textId="77777777" w:rsidR="000F7693" w:rsidRPr="00874DE4" w:rsidRDefault="000F7693" w:rsidP="00CD5E03">
      <w:pPr>
        <w:rPr>
          <w:b/>
          <w:lang w:val="fr-FR"/>
        </w:rPr>
      </w:pPr>
    </w:p>
    <w:sectPr w:rsidR="000F7693" w:rsidRPr="00874DE4" w:rsidSect="000A13FB">
      <w:headerReference w:type="default" r:id="rId15"/>
      <w:pgSz w:w="12240" w:h="15840"/>
      <w:pgMar w:top="454" w:right="720" w:bottom="720" w:left="72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19635" w14:textId="77777777" w:rsidR="00AF3EA7" w:rsidRDefault="00AF3EA7" w:rsidP="004D291C">
      <w:pPr>
        <w:spacing w:after="0" w:line="240" w:lineRule="auto"/>
      </w:pPr>
      <w:r>
        <w:separator/>
      </w:r>
    </w:p>
  </w:endnote>
  <w:endnote w:type="continuationSeparator" w:id="0">
    <w:p w14:paraId="71FDA394" w14:textId="77777777" w:rsidR="00AF3EA7" w:rsidRDefault="00AF3EA7"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Zapf Dingbats">
    <w:altName w:val="Wingdings"/>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4CCFC" w14:textId="77777777" w:rsidR="00AF3EA7" w:rsidRDefault="00AF3EA7" w:rsidP="004D291C">
      <w:pPr>
        <w:spacing w:after="0" w:line="240" w:lineRule="auto"/>
      </w:pPr>
      <w:r>
        <w:separator/>
      </w:r>
    </w:p>
  </w:footnote>
  <w:footnote w:type="continuationSeparator" w:id="0">
    <w:p w14:paraId="1E33B018" w14:textId="77777777" w:rsidR="00AF3EA7" w:rsidRDefault="00AF3EA7" w:rsidP="004D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C6249" w14:textId="301D3A58" w:rsidR="007A6431" w:rsidRPr="00874DE4" w:rsidRDefault="00FA301B" w:rsidP="00CF43DC">
    <w:pPr>
      <w:rPr>
        <w:sz w:val="28"/>
        <w:szCs w:val="28"/>
        <w:u w:val="single"/>
        <w:lang w:val="fr-FR"/>
      </w:rPr>
    </w:pPr>
    <w:r w:rsidRPr="00BB34F7">
      <w:rPr>
        <w:noProof/>
        <w:sz w:val="28"/>
        <w:szCs w:val="28"/>
        <w:u w:val="single"/>
        <w:lang w:val="fr-FR" w:eastAsia="fr-FR"/>
      </w:rPr>
      <w:drawing>
        <wp:anchor distT="0" distB="0" distL="114300" distR="114300" simplePos="0" relativeHeight="251659264" behindDoc="0" locked="0" layoutInCell="1" allowOverlap="1" wp14:anchorId="6CD33415" wp14:editId="490923E1">
          <wp:simplePos x="0" y="0"/>
          <wp:positionH relativeFrom="column">
            <wp:posOffset>6502400</wp:posOffset>
          </wp:positionH>
          <wp:positionV relativeFrom="paragraph">
            <wp:posOffset>6350</wp:posOffset>
          </wp:positionV>
          <wp:extent cx="667385" cy="266065"/>
          <wp:effectExtent l="0" t="0" r="0" b="635"/>
          <wp:wrapNone/>
          <wp:docPr id="15" name="Picture 4"/>
          <wp:cNvGraphicFramePr/>
          <a:graphic xmlns:a="http://schemas.openxmlformats.org/drawingml/2006/main">
            <a:graphicData uri="http://schemas.openxmlformats.org/drawingml/2006/picture">
              <pic:pic xmlns:pic="http://schemas.openxmlformats.org/drawingml/2006/picture">
                <pic:nvPicPr>
                  <pic:cNvPr id="15" name="Picture 4"/>
                  <pic:cNvPicPr/>
                </pic:nvPicPr>
                <pic:blipFill>
                  <a:blip r:embed="rId1"/>
                  <a:stretch>
                    <a:fillRect/>
                  </a:stretch>
                </pic:blipFill>
                <pic:spPr bwMode="auto">
                  <a:xfrm>
                    <a:off x="0" y="0"/>
                    <a:ext cx="667385" cy="266065"/>
                  </a:xfrm>
                  <a:prstGeom prst="rect">
                    <a:avLst/>
                  </a:prstGeom>
                  <a:noFill/>
                </pic:spPr>
              </pic:pic>
            </a:graphicData>
          </a:graphic>
          <wp14:sizeRelH relativeFrom="page">
            <wp14:pctWidth>0</wp14:pctWidth>
          </wp14:sizeRelH>
          <wp14:sizeRelV relativeFrom="page">
            <wp14:pctHeight>0</wp14:pctHeight>
          </wp14:sizeRelV>
        </wp:anchor>
      </w:drawing>
    </w:r>
    <w:r w:rsidRPr="00BB34F7">
      <w:rPr>
        <w:noProof/>
        <w:sz w:val="28"/>
        <w:szCs w:val="28"/>
        <w:u w:val="single"/>
        <w:lang w:val="fr-FR" w:eastAsia="fr-FR"/>
      </w:rPr>
      <w:drawing>
        <wp:anchor distT="0" distB="0" distL="114300" distR="114300" simplePos="0" relativeHeight="251660288" behindDoc="0" locked="0" layoutInCell="1" allowOverlap="1" wp14:anchorId="7E89BBAD" wp14:editId="0D7F2111">
          <wp:simplePos x="0" y="0"/>
          <wp:positionH relativeFrom="column">
            <wp:posOffset>5808133</wp:posOffset>
          </wp:positionH>
          <wp:positionV relativeFrom="paragraph">
            <wp:posOffset>-121073</wp:posOffset>
          </wp:positionV>
          <wp:extent cx="558800" cy="570298"/>
          <wp:effectExtent l="0" t="0" r="0" b="1270"/>
          <wp:wrapNone/>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3"/>
                  <pic:cNvPicPr>
                    <a:picLocks noChangeAspect="1"/>
                  </pic:cNvPicPr>
                </pic:nvPicPr>
                <pic:blipFill>
                  <a:blip r:embed="rId2"/>
                  <a:stretch>
                    <a:fillRect/>
                  </a:stretch>
                </pic:blipFill>
                <pic:spPr>
                  <a:xfrm>
                    <a:off x="0" y="0"/>
                    <a:ext cx="561008" cy="572551"/>
                  </a:xfrm>
                  <a:prstGeom prst="rect">
                    <a:avLst/>
                  </a:prstGeom>
                </pic:spPr>
              </pic:pic>
            </a:graphicData>
          </a:graphic>
          <wp14:sizeRelH relativeFrom="page">
            <wp14:pctWidth>0</wp14:pctWidth>
          </wp14:sizeRelH>
          <wp14:sizeRelV relativeFrom="page">
            <wp14:pctHeight>0</wp14:pctHeight>
          </wp14:sizeRelV>
        </wp:anchor>
      </w:drawing>
    </w:r>
    <w:r w:rsidR="00CF43DC" w:rsidRPr="00CF43DC">
      <w:rPr>
        <w:lang w:val="fr-FR"/>
      </w:rPr>
      <w:t xml:space="preserve"> </w:t>
    </w:r>
    <w:r w:rsidR="00CF43DC" w:rsidRPr="00CF43DC">
      <w:rPr>
        <w:sz w:val="28"/>
        <w:szCs w:val="28"/>
        <w:u w:val="single"/>
        <w:lang w:val="fr-FR"/>
      </w:rPr>
      <w:t>Cadre pour la Collaboration dans la Coordination PE-ESU</w:t>
    </w:r>
    <w:r w:rsidR="00CF43DC">
      <w:rPr>
        <w:sz w:val="28"/>
        <w:szCs w:val="28"/>
        <w:u w:val="single"/>
        <w:lang w:val="fr-FR"/>
      </w:rPr>
      <w:t xml:space="preserve"> - </w:t>
    </w:r>
    <w:hyperlink r:id="rId3" w:history="1">
      <w:r w:rsidR="00CF43DC">
        <w:rPr>
          <w:rStyle w:val="Hyperlink"/>
          <w:sz w:val="28"/>
          <w:szCs w:val="28"/>
          <w:lang w:val="fr-FR"/>
        </w:rPr>
        <w:t>paquet de soutien</w:t>
      </w:r>
    </w:hyperlink>
    <w:r w:rsidR="007A6431" w:rsidRPr="00874DE4">
      <w:rPr>
        <w:sz w:val="28"/>
        <w:szCs w:val="28"/>
        <w:u w:val="single"/>
        <w:lang w:val="fr-FR"/>
      </w:rPr>
      <w:t xml:space="preserve"> </w:t>
    </w:r>
  </w:p>
  <w:p w14:paraId="378C72A7" w14:textId="77777777" w:rsidR="007A6431" w:rsidRPr="00874DE4" w:rsidRDefault="007A6431">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62014"/>
    <w:multiLevelType w:val="hybridMultilevel"/>
    <w:tmpl w:val="CD165AB2"/>
    <w:lvl w:ilvl="0" w:tplc="040C0003">
      <w:start w:val="1"/>
      <w:numFmt w:val="bullet"/>
      <w:lvlText w:val="o"/>
      <w:lvlJc w:val="left"/>
      <w:pPr>
        <w:ind w:left="1842" w:hanging="360"/>
      </w:pPr>
      <w:rPr>
        <w:rFonts w:ascii="Courier New" w:hAnsi="Courier New" w:cs="Courier New" w:hint="default"/>
      </w:rPr>
    </w:lvl>
    <w:lvl w:ilvl="1" w:tplc="040C0003" w:tentative="1">
      <w:start w:val="1"/>
      <w:numFmt w:val="bullet"/>
      <w:lvlText w:val="o"/>
      <w:lvlJc w:val="left"/>
      <w:pPr>
        <w:ind w:left="2562" w:hanging="360"/>
      </w:pPr>
      <w:rPr>
        <w:rFonts w:ascii="Courier New" w:hAnsi="Courier New" w:cs="Courier New" w:hint="default"/>
      </w:rPr>
    </w:lvl>
    <w:lvl w:ilvl="2" w:tplc="040C0005" w:tentative="1">
      <w:start w:val="1"/>
      <w:numFmt w:val="bullet"/>
      <w:lvlText w:val=""/>
      <w:lvlJc w:val="left"/>
      <w:pPr>
        <w:ind w:left="3282" w:hanging="360"/>
      </w:pPr>
      <w:rPr>
        <w:rFonts w:ascii="Wingdings" w:hAnsi="Wingdings" w:hint="default"/>
      </w:rPr>
    </w:lvl>
    <w:lvl w:ilvl="3" w:tplc="040C0001">
      <w:start w:val="1"/>
      <w:numFmt w:val="bullet"/>
      <w:lvlText w:val=""/>
      <w:lvlJc w:val="left"/>
      <w:pPr>
        <w:ind w:left="4002" w:hanging="360"/>
      </w:pPr>
      <w:rPr>
        <w:rFonts w:ascii="Symbol" w:hAnsi="Symbol" w:hint="default"/>
      </w:rPr>
    </w:lvl>
    <w:lvl w:ilvl="4" w:tplc="040C0003" w:tentative="1">
      <w:start w:val="1"/>
      <w:numFmt w:val="bullet"/>
      <w:lvlText w:val="o"/>
      <w:lvlJc w:val="left"/>
      <w:pPr>
        <w:ind w:left="4722" w:hanging="360"/>
      </w:pPr>
      <w:rPr>
        <w:rFonts w:ascii="Courier New" w:hAnsi="Courier New" w:cs="Courier New" w:hint="default"/>
      </w:rPr>
    </w:lvl>
    <w:lvl w:ilvl="5" w:tplc="040C0005" w:tentative="1">
      <w:start w:val="1"/>
      <w:numFmt w:val="bullet"/>
      <w:lvlText w:val=""/>
      <w:lvlJc w:val="left"/>
      <w:pPr>
        <w:ind w:left="5442" w:hanging="360"/>
      </w:pPr>
      <w:rPr>
        <w:rFonts w:ascii="Wingdings" w:hAnsi="Wingdings" w:hint="default"/>
      </w:rPr>
    </w:lvl>
    <w:lvl w:ilvl="6" w:tplc="040C0001" w:tentative="1">
      <w:start w:val="1"/>
      <w:numFmt w:val="bullet"/>
      <w:lvlText w:val=""/>
      <w:lvlJc w:val="left"/>
      <w:pPr>
        <w:ind w:left="6162" w:hanging="360"/>
      </w:pPr>
      <w:rPr>
        <w:rFonts w:ascii="Symbol" w:hAnsi="Symbol" w:hint="default"/>
      </w:rPr>
    </w:lvl>
    <w:lvl w:ilvl="7" w:tplc="040C0003" w:tentative="1">
      <w:start w:val="1"/>
      <w:numFmt w:val="bullet"/>
      <w:lvlText w:val="o"/>
      <w:lvlJc w:val="left"/>
      <w:pPr>
        <w:ind w:left="6882" w:hanging="360"/>
      </w:pPr>
      <w:rPr>
        <w:rFonts w:ascii="Courier New" w:hAnsi="Courier New" w:cs="Courier New" w:hint="default"/>
      </w:rPr>
    </w:lvl>
    <w:lvl w:ilvl="8" w:tplc="040C0005" w:tentative="1">
      <w:start w:val="1"/>
      <w:numFmt w:val="bullet"/>
      <w:lvlText w:val=""/>
      <w:lvlJc w:val="left"/>
      <w:pPr>
        <w:ind w:left="7602" w:hanging="360"/>
      </w:pPr>
      <w:rPr>
        <w:rFonts w:ascii="Wingdings" w:hAnsi="Wingdings" w:hint="default"/>
      </w:rPr>
    </w:lvl>
  </w:abstractNum>
  <w:abstractNum w:abstractNumId="1" w15:restartNumberingAfterBreak="0">
    <w:nsid w:val="0A9535DC"/>
    <w:multiLevelType w:val="hybridMultilevel"/>
    <w:tmpl w:val="0C78AA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1293E"/>
    <w:multiLevelType w:val="hybridMultilevel"/>
    <w:tmpl w:val="A640584A"/>
    <w:lvl w:ilvl="0" w:tplc="A298537C">
      <w:start w:val="5"/>
      <w:numFmt w:val="bullet"/>
      <w:lvlText w:val="-"/>
      <w:lvlJc w:val="left"/>
      <w:pPr>
        <w:ind w:left="720" w:hanging="360"/>
      </w:pPr>
      <w:rPr>
        <w:rFonts w:ascii="Calibri" w:eastAsiaTheme="minorEastAsia" w:hAnsi="Calibri" w:cstheme="minorBidi" w:hint="default"/>
        <w:lang w:val="fr-FR"/>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A71096"/>
    <w:multiLevelType w:val="hybridMultilevel"/>
    <w:tmpl w:val="171271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370448"/>
    <w:multiLevelType w:val="hybridMultilevel"/>
    <w:tmpl w:val="C4D2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D20D73"/>
    <w:multiLevelType w:val="hybridMultilevel"/>
    <w:tmpl w:val="A9CEF27C"/>
    <w:lvl w:ilvl="0" w:tplc="8B943D28">
      <w:start w:val="4"/>
      <w:numFmt w:val="bullet"/>
      <w:lvlText w:val="-"/>
      <w:lvlJc w:val="left"/>
      <w:pPr>
        <w:ind w:left="720" w:hanging="360"/>
      </w:pPr>
      <w:rPr>
        <w:rFonts w:ascii="Calibri" w:eastAsiaTheme="minorHAnsi" w:hAnsi="Calibri" w:cs="Calibri" w:hint="default"/>
        <w:color w:val="000000"/>
        <w:sz w:val="27"/>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61A3106"/>
    <w:multiLevelType w:val="hybridMultilevel"/>
    <w:tmpl w:val="BF92EBE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AF16628"/>
    <w:multiLevelType w:val="hybridMultilevel"/>
    <w:tmpl w:val="EBA6EBA0"/>
    <w:lvl w:ilvl="0" w:tplc="9E083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4C1055"/>
    <w:multiLevelType w:val="hybridMultilevel"/>
    <w:tmpl w:val="03B0D2E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D5F785A"/>
    <w:multiLevelType w:val="hybridMultilevel"/>
    <w:tmpl w:val="F3EEBA1C"/>
    <w:lvl w:ilvl="0" w:tplc="04090005">
      <w:start w:val="1"/>
      <w:numFmt w:val="bullet"/>
      <w:lvlText w:val=""/>
      <w:lvlJc w:val="left"/>
      <w:pPr>
        <w:ind w:left="1072" w:hanging="360"/>
      </w:pPr>
      <w:rPr>
        <w:rFonts w:ascii="Wingdings" w:hAnsi="Wingdings" w:hint="default"/>
      </w:rPr>
    </w:lvl>
    <w:lvl w:ilvl="1" w:tplc="040C0003" w:tentative="1">
      <w:start w:val="1"/>
      <w:numFmt w:val="bullet"/>
      <w:lvlText w:val="o"/>
      <w:lvlJc w:val="left"/>
      <w:pPr>
        <w:ind w:left="1792" w:hanging="360"/>
      </w:pPr>
      <w:rPr>
        <w:rFonts w:ascii="Courier New" w:hAnsi="Courier New" w:cs="Courier New" w:hint="default"/>
      </w:rPr>
    </w:lvl>
    <w:lvl w:ilvl="2" w:tplc="040C0005" w:tentative="1">
      <w:start w:val="1"/>
      <w:numFmt w:val="bullet"/>
      <w:lvlText w:val=""/>
      <w:lvlJc w:val="left"/>
      <w:pPr>
        <w:ind w:left="2512" w:hanging="360"/>
      </w:pPr>
      <w:rPr>
        <w:rFonts w:ascii="Wingdings" w:hAnsi="Wingdings" w:hint="default"/>
      </w:rPr>
    </w:lvl>
    <w:lvl w:ilvl="3" w:tplc="040C0001" w:tentative="1">
      <w:start w:val="1"/>
      <w:numFmt w:val="bullet"/>
      <w:lvlText w:val=""/>
      <w:lvlJc w:val="left"/>
      <w:pPr>
        <w:ind w:left="3232" w:hanging="360"/>
      </w:pPr>
      <w:rPr>
        <w:rFonts w:ascii="Symbol" w:hAnsi="Symbol" w:hint="default"/>
      </w:rPr>
    </w:lvl>
    <w:lvl w:ilvl="4" w:tplc="040C0003" w:tentative="1">
      <w:start w:val="1"/>
      <w:numFmt w:val="bullet"/>
      <w:lvlText w:val="o"/>
      <w:lvlJc w:val="left"/>
      <w:pPr>
        <w:ind w:left="3952" w:hanging="360"/>
      </w:pPr>
      <w:rPr>
        <w:rFonts w:ascii="Courier New" w:hAnsi="Courier New" w:cs="Courier New" w:hint="default"/>
      </w:rPr>
    </w:lvl>
    <w:lvl w:ilvl="5" w:tplc="040C0005" w:tentative="1">
      <w:start w:val="1"/>
      <w:numFmt w:val="bullet"/>
      <w:lvlText w:val=""/>
      <w:lvlJc w:val="left"/>
      <w:pPr>
        <w:ind w:left="4672" w:hanging="360"/>
      </w:pPr>
      <w:rPr>
        <w:rFonts w:ascii="Wingdings" w:hAnsi="Wingdings" w:hint="default"/>
      </w:rPr>
    </w:lvl>
    <w:lvl w:ilvl="6" w:tplc="040C0001" w:tentative="1">
      <w:start w:val="1"/>
      <w:numFmt w:val="bullet"/>
      <w:lvlText w:val=""/>
      <w:lvlJc w:val="left"/>
      <w:pPr>
        <w:ind w:left="5392" w:hanging="360"/>
      </w:pPr>
      <w:rPr>
        <w:rFonts w:ascii="Symbol" w:hAnsi="Symbol" w:hint="default"/>
      </w:rPr>
    </w:lvl>
    <w:lvl w:ilvl="7" w:tplc="040C0003" w:tentative="1">
      <w:start w:val="1"/>
      <w:numFmt w:val="bullet"/>
      <w:lvlText w:val="o"/>
      <w:lvlJc w:val="left"/>
      <w:pPr>
        <w:ind w:left="6112" w:hanging="360"/>
      </w:pPr>
      <w:rPr>
        <w:rFonts w:ascii="Courier New" w:hAnsi="Courier New" w:cs="Courier New" w:hint="default"/>
      </w:rPr>
    </w:lvl>
    <w:lvl w:ilvl="8" w:tplc="040C0005" w:tentative="1">
      <w:start w:val="1"/>
      <w:numFmt w:val="bullet"/>
      <w:lvlText w:val=""/>
      <w:lvlJc w:val="left"/>
      <w:pPr>
        <w:ind w:left="6832" w:hanging="360"/>
      </w:pPr>
      <w:rPr>
        <w:rFonts w:ascii="Wingdings" w:hAnsi="Wingdings" w:hint="default"/>
      </w:rPr>
    </w:lvl>
  </w:abstractNum>
  <w:abstractNum w:abstractNumId="14" w15:restartNumberingAfterBreak="0">
    <w:nsid w:val="54C30BED"/>
    <w:multiLevelType w:val="hybridMultilevel"/>
    <w:tmpl w:val="8C169EEC"/>
    <w:lvl w:ilvl="0" w:tplc="2E64F7E4">
      <w:start w:val="4"/>
      <w:numFmt w:val="bullet"/>
      <w:lvlText w:val="-"/>
      <w:lvlJc w:val="left"/>
      <w:pPr>
        <w:ind w:left="720" w:hanging="360"/>
      </w:pPr>
      <w:rPr>
        <w:rFonts w:ascii="Calibri" w:eastAsiaTheme="minorHAnsi" w:hAnsi="Calibri" w:cs="Calibri" w:hint="default"/>
        <w:color w:val="000000"/>
        <w:sz w:val="27"/>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A9319D"/>
    <w:multiLevelType w:val="hybridMultilevel"/>
    <w:tmpl w:val="3454E5AA"/>
    <w:lvl w:ilvl="0" w:tplc="C98CBDE2">
      <w:numFmt w:val="bullet"/>
      <w:lvlText w:val="•"/>
      <w:lvlJc w:val="left"/>
      <w:pPr>
        <w:ind w:left="750" w:hanging="405"/>
      </w:pPr>
      <w:rPr>
        <w:rFonts w:ascii="Calibri" w:eastAsiaTheme="minorHAnsi" w:hAnsi="Calibri" w:cs="Calibri"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17"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4"/>
  </w:num>
  <w:num w:numId="4">
    <w:abstractNumId w:val="19"/>
  </w:num>
  <w:num w:numId="5">
    <w:abstractNumId w:val="7"/>
  </w:num>
  <w:num w:numId="6">
    <w:abstractNumId w:val="18"/>
  </w:num>
  <w:num w:numId="7">
    <w:abstractNumId w:val="15"/>
  </w:num>
  <w:num w:numId="8">
    <w:abstractNumId w:val="2"/>
  </w:num>
  <w:num w:numId="9">
    <w:abstractNumId w:val="17"/>
  </w:num>
  <w:num w:numId="10">
    <w:abstractNumId w:val="6"/>
  </w:num>
  <w:num w:numId="11">
    <w:abstractNumId w:val="12"/>
  </w:num>
  <w:num w:numId="12">
    <w:abstractNumId w:val="3"/>
  </w:num>
  <w:num w:numId="13">
    <w:abstractNumId w:val="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4"/>
  </w:num>
  <w:num w:numId="17">
    <w:abstractNumId w:val="13"/>
  </w:num>
  <w:num w:numId="18">
    <w:abstractNumId w:val="16"/>
  </w:num>
  <w:num w:numId="19">
    <w:abstractNumId w:val="0"/>
  </w:num>
  <w:num w:numId="2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158"/>
    <w:rsid w:val="00001014"/>
    <w:rsid w:val="000034C1"/>
    <w:rsid w:val="00011D71"/>
    <w:rsid w:val="0001289B"/>
    <w:rsid w:val="00012BFE"/>
    <w:rsid w:val="0001519E"/>
    <w:rsid w:val="0002097A"/>
    <w:rsid w:val="00022B17"/>
    <w:rsid w:val="00033951"/>
    <w:rsid w:val="00036301"/>
    <w:rsid w:val="000418ED"/>
    <w:rsid w:val="00041A65"/>
    <w:rsid w:val="00050997"/>
    <w:rsid w:val="00056FDA"/>
    <w:rsid w:val="00061E8A"/>
    <w:rsid w:val="00062C1C"/>
    <w:rsid w:val="0006684F"/>
    <w:rsid w:val="00067196"/>
    <w:rsid w:val="000673F8"/>
    <w:rsid w:val="00082011"/>
    <w:rsid w:val="00087B42"/>
    <w:rsid w:val="000A13FB"/>
    <w:rsid w:val="000A1FD1"/>
    <w:rsid w:val="000A5B51"/>
    <w:rsid w:val="000A7EA9"/>
    <w:rsid w:val="000B161C"/>
    <w:rsid w:val="000B47A3"/>
    <w:rsid w:val="000B6DBE"/>
    <w:rsid w:val="000C10A8"/>
    <w:rsid w:val="000C681F"/>
    <w:rsid w:val="000C7076"/>
    <w:rsid w:val="000D18AF"/>
    <w:rsid w:val="000D2BE2"/>
    <w:rsid w:val="000D3CB3"/>
    <w:rsid w:val="000D459D"/>
    <w:rsid w:val="000D677B"/>
    <w:rsid w:val="000D7537"/>
    <w:rsid w:val="000E2813"/>
    <w:rsid w:val="000E73B2"/>
    <w:rsid w:val="000F0513"/>
    <w:rsid w:val="000F1BD0"/>
    <w:rsid w:val="000F7693"/>
    <w:rsid w:val="00102093"/>
    <w:rsid w:val="00106158"/>
    <w:rsid w:val="001116BE"/>
    <w:rsid w:val="001119DF"/>
    <w:rsid w:val="00113195"/>
    <w:rsid w:val="00114737"/>
    <w:rsid w:val="001158DA"/>
    <w:rsid w:val="00122534"/>
    <w:rsid w:val="00122DF5"/>
    <w:rsid w:val="001304B2"/>
    <w:rsid w:val="00132128"/>
    <w:rsid w:val="00135FBE"/>
    <w:rsid w:val="00140437"/>
    <w:rsid w:val="00141530"/>
    <w:rsid w:val="0014219F"/>
    <w:rsid w:val="001505EA"/>
    <w:rsid w:val="001600CF"/>
    <w:rsid w:val="0016174F"/>
    <w:rsid w:val="00164D0C"/>
    <w:rsid w:val="001671A4"/>
    <w:rsid w:val="001711FB"/>
    <w:rsid w:val="00173975"/>
    <w:rsid w:val="00175636"/>
    <w:rsid w:val="001815CE"/>
    <w:rsid w:val="00184224"/>
    <w:rsid w:val="00190D2B"/>
    <w:rsid w:val="00192A64"/>
    <w:rsid w:val="001A3DCB"/>
    <w:rsid w:val="001A79B2"/>
    <w:rsid w:val="001B0597"/>
    <w:rsid w:val="001B07FF"/>
    <w:rsid w:val="001B2218"/>
    <w:rsid w:val="001C03BE"/>
    <w:rsid w:val="001C17D1"/>
    <w:rsid w:val="001C3B6E"/>
    <w:rsid w:val="001C4EDD"/>
    <w:rsid w:val="001C638F"/>
    <w:rsid w:val="001C64EF"/>
    <w:rsid w:val="001D055B"/>
    <w:rsid w:val="001D18BA"/>
    <w:rsid w:val="001D5415"/>
    <w:rsid w:val="001D6E3D"/>
    <w:rsid w:val="001D718C"/>
    <w:rsid w:val="001E0905"/>
    <w:rsid w:val="001E18E4"/>
    <w:rsid w:val="001E23A7"/>
    <w:rsid w:val="001E752F"/>
    <w:rsid w:val="001E7FF2"/>
    <w:rsid w:val="001F4C71"/>
    <w:rsid w:val="00202BB4"/>
    <w:rsid w:val="00206B18"/>
    <w:rsid w:val="002107D4"/>
    <w:rsid w:val="00211DB4"/>
    <w:rsid w:val="00214456"/>
    <w:rsid w:val="00215ABA"/>
    <w:rsid w:val="00216061"/>
    <w:rsid w:val="002218C1"/>
    <w:rsid w:val="00222B4B"/>
    <w:rsid w:val="00223E3E"/>
    <w:rsid w:val="00224356"/>
    <w:rsid w:val="00224850"/>
    <w:rsid w:val="002346AD"/>
    <w:rsid w:val="00234CA9"/>
    <w:rsid w:val="002414C2"/>
    <w:rsid w:val="00244BE9"/>
    <w:rsid w:val="00247847"/>
    <w:rsid w:val="00255719"/>
    <w:rsid w:val="0025671B"/>
    <w:rsid w:val="00260D50"/>
    <w:rsid w:val="002634B4"/>
    <w:rsid w:val="00270B9F"/>
    <w:rsid w:val="00273121"/>
    <w:rsid w:val="00274D92"/>
    <w:rsid w:val="00281286"/>
    <w:rsid w:val="00285546"/>
    <w:rsid w:val="00285EB5"/>
    <w:rsid w:val="002862AA"/>
    <w:rsid w:val="00286734"/>
    <w:rsid w:val="0028785D"/>
    <w:rsid w:val="00292F07"/>
    <w:rsid w:val="002950E2"/>
    <w:rsid w:val="002A1919"/>
    <w:rsid w:val="002A1AEF"/>
    <w:rsid w:val="002A3296"/>
    <w:rsid w:val="002A41B2"/>
    <w:rsid w:val="002A49A2"/>
    <w:rsid w:val="002A60C7"/>
    <w:rsid w:val="002B00A0"/>
    <w:rsid w:val="002C008E"/>
    <w:rsid w:val="002C16E2"/>
    <w:rsid w:val="002C237F"/>
    <w:rsid w:val="002C321F"/>
    <w:rsid w:val="002C5F59"/>
    <w:rsid w:val="002C6D9D"/>
    <w:rsid w:val="002D1D87"/>
    <w:rsid w:val="002E38A0"/>
    <w:rsid w:val="002F056D"/>
    <w:rsid w:val="002F0B5E"/>
    <w:rsid w:val="002F0F3E"/>
    <w:rsid w:val="002F651F"/>
    <w:rsid w:val="003003DC"/>
    <w:rsid w:val="00303371"/>
    <w:rsid w:val="003040F4"/>
    <w:rsid w:val="00320E53"/>
    <w:rsid w:val="00321B19"/>
    <w:rsid w:val="00324300"/>
    <w:rsid w:val="00324F1B"/>
    <w:rsid w:val="00335FBF"/>
    <w:rsid w:val="00337728"/>
    <w:rsid w:val="00340288"/>
    <w:rsid w:val="00342D7E"/>
    <w:rsid w:val="0034437D"/>
    <w:rsid w:val="0034666C"/>
    <w:rsid w:val="00350F5F"/>
    <w:rsid w:val="00355834"/>
    <w:rsid w:val="00372DEB"/>
    <w:rsid w:val="0037509F"/>
    <w:rsid w:val="00377878"/>
    <w:rsid w:val="003800E2"/>
    <w:rsid w:val="003806EF"/>
    <w:rsid w:val="00380DD2"/>
    <w:rsid w:val="0038181B"/>
    <w:rsid w:val="00382596"/>
    <w:rsid w:val="00383CEC"/>
    <w:rsid w:val="00383FBC"/>
    <w:rsid w:val="00385B9E"/>
    <w:rsid w:val="00393660"/>
    <w:rsid w:val="003937D3"/>
    <w:rsid w:val="003938B5"/>
    <w:rsid w:val="00396DB5"/>
    <w:rsid w:val="0039706A"/>
    <w:rsid w:val="003A5AA5"/>
    <w:rsid w:val="003B2AF3"/>
    <w:rsid w:val="003B6381"/>
    <w:rsid w:val="003B7079"/>
    <w:rsid w:val="003C094B"/>
    <w:rsid w:val="003C65AB"/>
    <w:rsid w:val="003C77EC"/>
    <w:rsid w:val="003D5295"/>
    <w:rsid w:val="003D5400"/>
    <w:rsid w:val="003E1CED"/>
    <w:rsid w:val="003E6625"/>
    <w:rsid w:val="003F0CB4"/>
    <w:rsid w:val="003F2478"/>
    <w:rsid w:val="003F2F47"/>
    <w:rsid w:val="003F5E97"/>
    <w:rsid w:val="0040071B"/>
    <w:rsid w:val="0040124B"/>
    <w:rsid w:val="0040225F"/>
    <w:rsid w:val="0040257C"/>
    <w:rsid w:val="004123F5"/>
    <w:rsid w:val="00414ADA"/>
    <w:rsid w:val="004259DB"/>
    <w:rsid w:val="00426D43"/>
    <w:rsid w:val="00431084"/>
    <w:rsid w:val="004332F4"/>
    <w:rsid w:val="00435EEA"/>
    <w:rsid w:val="0043631D"/>
    <w:rsid w:val="00445040"/>
    <w:rsid w:val="00445746"/>
    <w:rsid w:val="00446BF3"/>
    <w:rsid w:val="004509C3"/>
    <w:rsid w:val="00471001"/>
    <w:rsid w:val="00472E55"/>
    <w:rsid w:val="00477380"/>
    <w:rsid w:val="00482F57"/>
    <w:rsid w:val="004879D9"/>
    <w:rsid w:val="00490550"/>
    <w:rsid w:val="00494D35"/>
    <w:rsid w:val="004A0BC5"/>
    <w:rsid w:val="004B06EC"/>
    <w:rsid w:val="004B371A"/>
    <w:rsid w:val="004C0F5D"/>
    <w:rsid w:val="004C2B22"/>
    <w:rsid w:val="004C3B05"/>
    <w:rsid w:val="004C740D"/>
    <w:rsid w:val="004D291C"/>
    <w:rsid w:val="004D3424"/>
    <w:rsid w:val="004D3EB2"/>
    <w:rsid w:val="004D406B"/>
    <w:rsid w:val="004D47FF"/>
    <w:rsid w:val="004D69A2"/>
    <w:rsid w:val="004E1B6E"/>
    <w:rsid w:val="004F0211"/>
    <w:rsid w:val="004F5C2E"/>
    <w:rsid w:val="0050222D"/>
    <w:rsid w:val="0050525A"/>
    <w:rsid w:val="00505DDE"/>
    <w:rsid w:val="00516DF4"/>
    <w:rsid w:val="005178D8"/>
    <w:rsid w:val="00523CAA"/>
    <w:rsid w:val="0052690D"/>
    <w:rsid w:val="00527DB5"/>
    <w:rsid w:val="00532059"/>
    <w:rsid w:val="005365F9"/>
    <w:rsid w:val="005427C8"/>
    <w:rsid w:val="00543561"/>
    <w:rsid w:val="005435C0"/>
    <w:rsid w:val="00543F93"/>
    <w:rsid w:val="00546C3A"/>
    <w:rsid w:val="00551731"/>
    <w:rsid w:val="00554EAC"/>
    <w:rsid w:val="00556778"/>
    <w:rsid w:val="00561F4A"/>
    <w:rsid w:val="00582ED7"/>
    <w:rsid w:val="005865BF"/>
    <w:rsid w:val="0059003F"/>
    <w:rsid w:val="0059094F"/>
    <w:rsid w:val="005946FD"/>
    <w:rsid w:val="00595E99"/>
    <w:rsid w:val="0059724D"/>
    <w:rsid w:val="005A05CD"/>
    <w:rsid w:val="005A2FE4"/>
    <w:rsid w:val="005B34CE"/>
    <w:rsid w:val="005B55AF"/>
    <w:rsid w:val="005B7F3A"/>
    <w:rsid w:val="005D6B37"/>
    <w:rsid w:val="005D7227"/>
    <w:rsid w:val="005E04B4"/>
    <w:rsid w:val="005E09B2"/>
    <w:rsid w:val="005E195A"/>
    <w:rsid w:val="005E31CF"/>
    <w:rsid w:val="005E63D3"/>
    <w:rsid w:val="005E67DB"/>
    <w:rsid w:val="005F33BA"/>
    <w:rsid w:val="005F74BA"/>
    <w:rsid w:val="00601BE5"/>
    <w:rsid w:val="006036A4"/>
    <w:rsid w:val="006071F7"/>
    <w:rsid w:val="00611F56"/>
    <w:rsid w:val="00621488"/>
    <w:rsid w:val="00621E3F"/>
    <w:rsid w:val="00624B6F"/>
    <w:rsid w:val="00625624"/>
    <w:rsid w:val="00626408"/>
    <w:rsid w:val="006272CA"/>
    <w:rsid w:val="006328B5"/>
    <w:rsid w:val="00636382"/>
    <w:rsid w:val="00637199"/>
    <w:rsid w:val="00640ACE"/>
    <w:rsid w:val="0064119E"/>
    <w:rsid w:val="00641236"/>
    <w:rsid w:val="00641380"/>
    <w:rsid w:val="00646F54"/>
    <w:rsid w:val="006516CC"/>
    <w:rsid w:val="00651C60"/>
    <w:rsid w:val="00652EB7"/>
    <w:rsid w:val="00657C4E"/>
    <w:rsid w:val="006618E2"/>
    <w:rsid w:val="0067419C"/>
    <w:rsid w:val="0067554B"/>
    <w:rsid w:val="00680B1B"/>
    <w:rsid w:val="0068446F"/>
    <w:rsid w:val="00687737"/>
    <w:rsid w:val="00687C6D"/>
    <w:rsid w:val="006926BE"/>
    <w:rsid w:val="00695C0F"/>
    <w:rsid w:val="006A0B0D"/>
    <w:rsid w:val="006A3B2D"/>
    <w:rsid w:val="006B04A9"/>
    <w:rsid w:val="006B04E3"/>
    <w:rsid w:val="006B3F8D"/>
    <w:rsid w:val="006B74FC"/>
    <w:rsid w:val="006C1FBD"/>
    <w:rsid w:val="006C234A"/>
    <w:rsid w:val="006D2EEA"/>
    <w:rsid w:val="006D341B"/>
    <w:rsid w:val="006E1179"/>
    <w:rsid w:val="006E1F48"/>
    <w:rsid w:val="006E4032"/>
    <w:rsid w:val="006E71BC"/>
    <w:rsid w:val="006F3929"/>
    <w:rsid w:val="00701291"/>
    <w:rsid w:val="00705291"/>
    <w:rsid w:val="00705458"/>
    <w:rsid w:val="00705B23"/>
    <w:rsid w:val="007076E7"/>
    <w:rsid w:val="00711071"/>
    <w:rsid w:val="00715B06"/>
    <w:rsid w:val="007170A6"/>
    <w:rsid w:val="00720817"/>
    <w:rsid w:val="007236C3"/>
    <w:rsid w:val="00726FCA"/>
    <w:rsid w:val="00731F68"/>
    <w:rsid w:val="007331EE"/>
    <w:rsid w:val="00744B91"/>
    <w:rsid w:val="00745B7E"/>
    <w:rsid w:val="00746ECB"/>
    <w:rsid w:val="00747885"/>
    <w:rsid w:val="0076300F"/>
    <w:rsid w:val="00763AB5"/>
    <w:rsid w:val="00763B13"/>
    <w:rsid w:val="007647D9"/>
    <w:rsid w:val="00765558"/>
    <w:rsid w:val="007660A7"/>
    <w:rsid w:val="0076748A"/>
    <w:rsid w:val="00770AC4"/>
    <w:rsid w:val="00792D15"/>
    <w:rsid w:val="00795BD7"/>
    <w:rsid w:val="007A01AE"/>
    <w:rsid w:val="007A2463"/>
    <w:rsid w:val="007A3717"/>
    <w:rsid w:val="007A6431"/>
    <w:rsid w:val="007B2120"/>
    <w:rsid w:val="007B3380"/>
    <w:rsid w:val="007B483E"/>
    <w:rsid w:val="007C5C9C"/>
    <w:rsid w:val="007E215C"/>
    <w:rsid w:val="007E7FAD"/>
    <w:rsid w:val="00805B7F"/>
    <w:rsid w:val="008079FE"/>
    <w:rsid w:val="008114E3"/>
    <w:rsid w:val="0082194F"/>
    <w:rsid w:val="00832D90"/>
    <w:rsid w:val="00834373"/>
    <w:rsid w:val="00835CF0"/>
    <w:rsid w:val="00836307"/>
    <w:rsid w:val="00836822"/>
    <w:rsid w:val="0084593E"/>
    <w:rsid w:val="0085165F"/>
    <w:rsid w:val="0086095D"/>
    <w:rsid w:val="00861788"/>
    <w:rsid w:val="00866D81"/>
    <w:rsid w:val="00870BF1"/>
    <w:rsid w:val="00874DE4"/>
    <w:rsid w:val="0087725E"/>
    <w:rsid w:val="008828EB"/>
    <w:rsid w:val="008848F7"/>
    <w:rsid w:val="008978D3"/>
    <w:rsid w:val="008A0F2F"/>
    <w:rsid w:val="008A4FDE"/>
    <w:rsid w:val="008A52AB"/>
    <w:rsid w:val="008B33A8"/>
    <w:rsid w:val="008B52AE"/>
    <w:rsid w:val="008C2E4B"/>
    <w:rsid w:val="008D3998"/>
    <w:rsid w:val="008D46B8"/>
    <w:rsid w:val="008D7384"/>
    <w:rsid w:val="008E0417"/>
    <w:rsid w:val="008E7343"/>
    <w:rsid w:val="008F1001"/>
    <w:rsid w:val="008F16D5"/>
    <w:rsid w:val="00900699"/>
    <w:rsid w:val="009018B8"/>
    <w:rsid w:val="00903262"/>
    <w:rsid w:val="00903368"/>
    <w:rsid w:val="00905C7E"/>
    <w:rsid w:val="009063A8"/>
    <w:rsid w:val="0090749B"/>
    <w:rsid w:val="00911016"/>
    <w:rsid w:val="009142EB"/>
    <w:rsid w:val="00920741"/>
    <w:rsid w:val="0092263E"/>
    <w:rsid w:val="00926FC2"/>
    <w:rsid w:val="00932773"/>
    <w:rsid w:val="00934212"/>
    <w:rsid w:val="00937122"/>
    <w:rsid w:val="00940CDB"/>
    <w:rsid w:val="009414BA"/>
    <w:rsid w:val="009417EF"/>
    <w:rsid w:val="00942936"/>
    <w:rsid w:val="00944749"/>
    <w:rsid w:val="0094504A"/>
    <w:rsid w:val="009578F1"/>
    <w:rsid w:val="009635F7"/>
    <w:rsid w:val="00966052"/>
    <w:rsid w:val="00966973"/>
    <w:rsid w:val="009779B4"/>
    <w:rsid w:val="00981CD9"/>
    <w:rsid w:val="00992A75"/>
    <w:rsid w:val="0099365F"/>
    <w:rsid w:val="009A5E0F"/>
    <w:rsid w:val="009A64CA"/>
    <w:rsid w:val="009A7FE1"/>
    <w:rsid w:val="009B3B33"/>
    <w:rsid w:val="009B4850"/>
    <w:rsid w:val="009C1D0A"/>
    <w:rsid w:val="009C3255"/>
    <w:rsid w:val="009C58C7"/>
    <w:rsid w:val="009C7903"/>
    <w:rsid w:val="009D2CCC"/>
    <w:rsid w:val="009D4FCA"/>
    <w:rsid w:val="009D7A23"/>
    <w:rsid w:val="009E25F8"/>
    <w:rsid w:val="009E34E8"/>
    <w:rsid w:val="009E4483"/>
    <w:rsid w:val="009E62ED"/>
    <w:rsid w:val="009F1D87"/>
    <w:rsid w:val="009F2EA0"/>
    <w:rsid w:val="009F498C"/>
    <w:rsid w:val="009F5304"/>
    <w:rsid w:val="009F60BB"/>
    <w:rsid w:val="00A022D9"/>
    <w:rsid w:val="00A070B7"/>
    <w:rsid w:val="00A21286"/>
    <w:rsid w:val="00A21626"/>
    <w:rsid w:val="00A241A2"/>
    <w:rsid w:val="00A26CC0"/>
    <w:rsid w:val="00A31F4A"/>
    <w:rsid w:val="00A340A7"/>
    <w:rsid w:val="00A347E7"/>
    <w:rsid w:val="00A35059"/>
    <w:rsid w:val="00A42F74"/>
    <w:rsid w:val="00A455D1"/>
    <w:rsid w:val="00A4583A"/>
    <w:rsid w:val="00A52FE0"/>
    <w:rsid w:val="00A5481F"/>
    <w:rsid w:val="00A560FA"/>
    <w:rsid w:val="00A568A6"/>
    <w:rsid w:val="00A605BB"/>
    <w:rsid w:val="00A62166"/>
    <w:rsid w:val="00A64477"/>
    <w:rsid w:val="00A700FC"/>
    <w:rsid w:val="00A702F0"/>
    <w:rsid w:val="00A72DED"/>
    <w:rsid w:val="00A763EC"/>
    <w:rsid w:val="00A827B8"/>
    <w:rsid w:val="00A8443E"/>
    <w:rsid w:val="00A86B41"/>
    <w:rsid w:val="00A87968"/>
    <w:rsid w:val="00A92485"/>
    <w:rsid w:val="00A92FB4"/>
    <w:rsid w:val="00AA0CFB"/>
    <w:rsid w:val="00AA784E"/>
    <w:rsid w:val="00AA7FBE"/>
    <w:rsid w:val="00AB17AC"/>
    <w:rsid w:val="00AB4F5E"/>
    <w:rsid w:val="00AC2BBB"/>
    <w:rsid w:val="00AC41F4"/>
    <w:rsid w:val="00AC5113"/>
    <w:rsid w:val="00AD32AE"/>
    <w:rsid w:val="00AD503E"/>
    <w:rsid w:val="00AD6080"/>
    <w:rsid w:val="00AD63CB"/>
    <w:rsid w:val="00AE1389"/>
    <w:rsid w:val="00AE465D"/>
    <w:rsid w:val="00AE6D29"/>
    <w:rsid w:val="00AF0686"/>
    <w:rsid w:val="00AF2A11"/>
    <w:rsid w:val="00AF3EA7"/>
    <w:rsid w:val="00AF7C13"/>
    <w:rsid w:val="00B01CAA"/>
    <w:rsid w:val="00B02543"/>
    <w:rsid w:val="00B062B6"/>
    <w:rsid w:val="00B110B2"/>
    <w:rsid w:val="00B14C29"/>
    <w:rsid w:val="00B15FFC"/>
    <w:rsid w:val="00B1757D"/>
    <w:rsid w:val="00B21BE3"/>
    <w:rsid w:val="00B277EE"/>
    <w:rsid w:val="00B3721D"/>
    <w:rsid w:val="00B37F94"/>
    <w:rsid w:val="00B47B47"/>
    <w:rsid w:val="00B532ED"/>
    <w:rsid w:val="00B533B5"/>
    <w:rsid w:val="00B5756E"/>
    <w:rsid w:val="00B610F1"/>
    <w:rsid w:val="00B642A7"/>
    <w:rsid w:val="00B6598B"/>
    <w:rsid w:val="00B66035"/>
    <w:rsid w:val="00B67370"/>
    <w:rsid w:val="00B72726"/>
    <w:rsid w:val="00B74790"/>
    <w:rsid w:val="00B75805"/>
    <w:rsid w:val="00B76F99"/>
    <w:rsid w:val="00B828DA"/>
    <w:rsid w:val="00B91D90"/>
    <w:rsid w:val="00B91E6E"/>
    <w:rsid w:val="00B94A43"/>
    <w:rsid w:val="00B95A32"/>
    <w:rsid w:val="00BA5F3F"/>
    <w:rsid w:val="00BB2951"/>
    <w:rsid w:val="00BB34F7"/>
    <w:rsid w:val="00BB45F8"/>
    <w:rsid w:val="00BB5487"/>
    <w:rsid w:val="00BC0A5B"/>
    <w:rsid w:val="00BC2258"/>
    <w:rsid w:val="00BC32A6"/>
    <w:rsid w:val="00BC34B7"/>
    <w:rsid w:val="00BC4444"/>
    <w:rsid w:val="00BC4A2A"/>
    <w:rsid w:val="00BD5800"/>
    <w:rsid w:val="00BD7869"/>
    <w:rsid w:val="00BE1135"/>
    <w:rsid w:val="00BE53A9"/>
    <w:rsid w:val="00BE7772"/>
    <w:rsid w:val="00BF4649"/>
    <w:rsid w:val="00BF5DDE"/>
    <w:rsid w:val="00BF6B57"/>
    <w:rsid w:val="00C019C6"/>
    <w:rsid w:val="00C04C2E"/>
    <w:rsid w:val="00C05D6A"/>
    <w:rsid w:val="00C10412"/>
    <w:rsid w:val="00C2164C"/>
    <w:rsid w:val="00C37500"/>
    <w:rsid w:val="00C465B7"/>
    <w:rsid w:val="00C4710F"/>
    <w:rsid w:val="00C536E9"/>
    <w:rsid w:val="00C60B90"/>
    <w:rsid w:val="00C62304"/>
    <w:rsid w:val="00C62C6A"/>
    <w:rsid w:val="00C64218"/>
    <w:rsid w:val="00C64C13"/>
    <w:rsid w:val="00C66E52"/>
    <w:rsid w:val="00C67218"/>
    <w:rsid w:val="00C72CEA"/>
    <w:rsid w:val="00C74250"/>
    <w:rsid w:val="00C80FE9"/>
    <w:rsid w:val="00C8679F"/>
    <w:rsid w:val="00C87A95"/>
    <w:rsid w:val="00C90602"/>
    <w:rsid w:val="00C91FDE"/>
    <w:rsid w:val="00C930E7"/>
    <w:rsid w:val="00CA02A9"/>
    <w:rsid w:val="00CA7ED8"/>
    <w:rsid w:val="00CB7B7D"/>
    <w:rsid w:val="00CC2454"/>
    <w:rsid w:val="00CC2DC5"/>
    <w:rsid w:val="00CC3762"/>
    <w:rsid w:val="00CC3787"/>
    <w:rsid w:val="00CC4A06"/>
    <w:rsid w:val="00CD5E03"/>
    <w:rsid w:val="00CD6D7E"/>
    <w:rsid w:val="00CE1BA0"/>
    <w:rsid w:val="00CF1E80"/>
    <w:rsid w:val="00CF369A"/>
    <w:rsid w:val="00CF43DC"/>
    <w:rsid w:val="00CF510E"/>
    <w:rsid w:val="00CF5A8D"/>
    <w:rsid w:val="00CF5A97"/>
    <w:rsid w:val="00CF65CF"/>
    <w:rsid w:val="00D04051"/>
    <w:rsid w:val="00D04DF9"/>
    <w:rsid w:val="00D07C63"/>
    <w:rsid w:val="00D11B9B"/>
    <w:rsid w:val="00D22E82"/>
    <w:rsid w:val="00D24B2A"/>
    <w:rsid w:val="00D2746E"/>
    <w:rsid w:val="00D352C7"/>
    <w:rsid w:val="00D405B4"/>
    <w:rsid w:val="00D42C01"/>
    <w:rsid w:val="00D51B8A"/>
    <w:rsid w:val="00D520FB"/>
    <w:rsid w:val="00D549C9"/>
    <w:rsid w:val="00D56AEB"/>
    <w:rsid w:val="00D6480D"/>
    <w:rsid w:val="00D65F9A"/>
    <w:rsid w:val="00D705E1"/>
    <w:rsid w:val="00D70AED"/>
    <w:rsid w:val="00D72E6A"/>
    <w:rsid w:val="00D740D5"/>
    <w:rsid w:val="00D8182F"/>
    <w:rsid w:val="00D827A3"/>
    <w:rsid w:val="00D900C5"/>
    <w:rsid w:val="00D91701"/>
    <w:rsid w:val="00D918E0"/>
    <w:rsid w:val="00D93679"/>
    <w:rsid w:val="00D978E0"/>
    <w:rsid w:val="00D97D4E"/>
    <w:rsid w:val="00DA085C"/>
    <w:rsid w:val="00DA2906"/>
    <w:rsid w:val="00DB2A4A"/>
    <w:rsid w:val="00DC01A2"/>
    <w:rsid w:val="00DC0DD1"/>
    <w:rsid w:val="00DC18BF"/>
    <w:rsid w:val="00DC1EFE"/>
    <w:rsid w:val="00DC2876"/>
    <w:rsid w:val="00DC63BE"/>
    <w:rsid w:val="00DC667C"/>
    <w:rsid w:val="00DC76C2"/>
    <w:rsid w:val="00DD3D29"/>
    <w:rsid w:val="00DD4DB8"/>
    <w:rsid w:val="00DD723C"/>
    <w:rsid w:val="00DE6FBD"/>
    <w:rsid w:val="00DF1AFE"/>
    <w:rsid w:val="00DF3B98"/>
    <w:rsid w:val="00E0743E"/>
    <w:rsid w:val="00E07745"/>
    <w:rsid w:val="00E07F4B"/>
    <w:rsid w:val="00E1493A"/>
    <w:rsid w:val="00E16923"/>
    <w:rsid w:val="00E2064B"/>
    <w:rsid w:val="00E210F8"/>
    <w:rsid w:val="00E24017"/>
    <w:rsid w:val="00E25FA3"/>
    <w:rsid w:val="00E31158"/>
    <w:rsid w:val="00E32C29"/>
    <w:rsid w:val="00E35BC4"/>
    <w:rsid w:val="00E37EEB"/>
    <w:rsid w:val="00E401DF"/>
    <w:rsid w:val="00E42D48"/>
    <w:rsid w:val="00E4349C"/>
    <w:rsid w:val="00E43A5A"/>
    <w:rsid w:val="00E55321"/>
    <w:rsid w:val="00E61E45"/>
    <w:rsid w:val="00E63CB5"/>
    <w:rsid w:val="00E640BA"/>
    <w:rsid w:val="00E649EA"/>
    <w:rsid w:val="00E70F9B"/>
    <w:rsid w:val="00E7364D"/>
    <w:rsid w:val="00E7638E"/>
    <w:rsid w:val="00E7654C"/>
    <w:rsid w:val="00E80E15"/>
    <w:rsid w:val="00E8107A"/>
    <w:rsid w:val="00E83401"/>
    <w:rsid w:val="00E84889"/>
    <w:rsid w:val="00E877FD"/>
    <w:rsid w:val="00E91A21"/>
    <w:rsid w:val="00E91ADF"/>
    <w:rsid w:val="00E928AF"/>
    <w:rsid w:val="00E93E7A"/>
    <w:rsid w:val="00E9634C"/>
    <w:rsid w:val="00EA0B1A"/>
    <w:rsid w:val="00EA2818"/>
    <w:rsid w:val="00EA39E3"/>
    <w:rsid w:val="00EB3AC1"/>
    <w:rsid w:val="00EC0053"/>
    <w:rsid w:val="00EC7153"/>
    <w:rsid w:val="00ED297A"/>
    <w:rsid w:val="00EF09DB"/>
    <w:rsid w:val="00EF2887"/>
    <w:rsid w:val="00F02EAA"/>
    <w:rsid w:val="00F06260"/>
    <w:rsid w:val="00F06321"/>
    <w:rsid w:val="00F12014"/>
    <w:rsid w:val="00F14B75"/>
    <w:rsid w:val="00F161F4"/>
    <w:rsid w:val="00F16F23"/>
    <w:rsid w:val="00F228EA"/>
    <w:rsid w:val="00F2375B"/>
    <w:rsid w:val="00F2689B"/>
    <w:rsid w:val="00F302D4"/>
    <w:rsid w:val="00F3059B"/>
    <w:rsid w:val="00F32AC3"/>
    <w:rsid w:val="00F37F62"/>
    <w:rsid w:val="00F4662B"/>
    <w:rsid w:val="00F60E57"/>
    <w:rsid w:val="00F64AAB"/>
    <w:rsid w:val="00F67BC5"/>
    <w:rsid w:val="00F70BF3"/>
    <w:rsid w:val="00F7176C"/>
    <w:rsid w:val="00F7185B"/>
    <w:rsid w:val="00F75189"/>
    <w:rsid w:val="00F80611"/>
    <w:rsid w:val="00F84055"/>
    <w:rsid w:val="00F849D4"/>
    <w:rsid w:val="00F87643"/>
    <w:rsid w:val="00F87CC0"/>
    <w:rsid w:val="00FA1DCA"/>
    <w:rsid w:val="00FA301B"/>
    <w:rsid w:val="00FA36C1"/>
    <w:rsid w:val="00FA58EA"/>
    <w:rsid w:val="00FB0C08"/>
    <w:rsid w:val="00FB28E2"/>
    <w:rsid w:val="00FB4CC1"/>
    <w:rsid w:val="00FB4DF3"/>
    <w:rsid w:val="00FC3641"/>
    <w:rsid w:val="00FC4CD9"/>
    <w:rsid w:val="00FC5DE0"/>
    <w:rsid w:val="00FC6A10"/>
    <w:rsid w:val="00FD5A1F"/>
    <w:rsid w:val="00FD7DBF"/>
    <w:rsid w:val="00FE45E0"/>
    <w:rsid w:val="00FE7AA6"/>
    <w:rsid w:val="00FF2374"/>
    <w:rsid w:val="00FF3497"/>
    <w:rsid w:val="00FF5D1F"/>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customStyle="1" w:styleId="CommentTextChar">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customStyle="1" w:styleId="CommentSubjectChar">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customStyle="1" w:styleId="FootnoteTextChar">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customStyle="1" w:styleId="apple-converted-space">
    <w:name w:val="apple-converted-space"/>
    <w:basedOn w:val="DefaultParagraphFont"/>
    <w:rsid w:val="0043631D"/>
  </w:style>
  <w:style w:type="table" w:customStyle="1" w:styleId="TableGrid1">
    <w:name w:val="Table Grid1"/>
    <w:basedOn w:val="TableNormal"/>
    <w:next w:val="TableGrid"/>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1135"/>
  </w:style>
  <w:style w:type="character" w:customStyle="1" w:styleId="UnresolvedMention1">
    <w:name w:val="Unresolved Mention1"/>
    <w:basedOn w:val="DefaultParagraphFont"/>
    <w:uiPriority w:val="99"/>
    <w:semiHidden/>
    <w:unhideWhenUsed/>
    <w:rsid w:val="000A13FB"/>
    <w:rPr>
      <w:color w:val="605E5C"/>
      <w:shd w:val="clear" w:color="auto" w:fill="E1DFDD"/>
    </w:rPr>
  </w:style>
  <w:style w:type="character" w:styleId="UnresolvedMention">
    <w:name w:val="Unresolved Mention"/>
    <w:basedOn w:val="DefaultParagraphFont"/>
    <w:uiPriority w:val="99"/>
    <w:semiHidden/>
    <w:unhideWhenUsed/>
    <w:rsid w:val="00CF43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70122305">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61211125">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ucationcluster.box.com/s/9pc4n3vpy2aq57vkliqnnecp3ckcf11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jemv082do5s80p270fswgwjwbn5kuf1g" TargetMode="External"/><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CE317431CEBC147987F05DAE86A27F6" ma:contentTypeVersion="12" ma:contentTypeDescription="Opret et nyt dokument." ma:contentTypeScope="" ma:versionID="42634b7ec19e917f5fbe1dd32a57591c">
  <xsd:schema xmlns:xsd="http://www.w3.org/2001/XMLSchema" xmlns:xs="http://www.w3.org/2001/XMLSchema" xmlns:p="http://schemas.microsoft.com/office/2006/metadata/properties" xmlns:ns3="082b9dea-9a63-434d-b57e-688050f99571" xmlns:ns4="bde28165-fc8c-44bd-870d-8513c2d38fe2" targetNamespace="http://schemas.microsoft.com/office/2006/metadata/properties" ma:root="true" ma:fieldsID="098dad9c92e3b68c5bf02ecba36bac5e" ns3:_="" ns4:_="">
    <xsd:import namespace="082b9dea-9a63-434d-b57e-688050f99571"/>
    <xsd:import namespace="bde28165-fc8c-44bd-870d-8513c2d38fe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b9dea-9a63-434d-b57e-688050f99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e28165-fc8c-44bd-870d-8513c2d38fe2"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5B66A-3C80-4C34-A5A9-EAA8A27A9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b9dea-9a63-434d-b57e-688050f99571"/>
    <ds:schemaRef ds:uri="bde28165-fc8c-44bd-870d-8513c2d38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C87D83-9B82-4E96-8BE3-F4AB531B23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C9A19B-157F-4AF9-8A0B-3F4170BDCBAC}">
  <ds:schemaRefs>
    <ds:schemaRef ds:uri="http://schemas.microsoft.com/sharepoint/v3/contenttype/forms"/>
  </ds:schemaRefs>
</ds:datastoreItem>
</file>

<file path=customXml/itemProps4.xml><?xml version="1.0" encoding="utf-8"?>
<ds:datastoreItem xmlns:ds="http://schemas.openxmlformats.org/officeDocument/2006/customXml" ds:itemID="{BEBE889A-AE1B-45F4-8144-2EC8F6DAD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2342</Words>
  <Characters>13353</Characters>
  <Application>Microsoft Office Word</Application>
  <DocSecurity>0</DocSecurity>
  <Lines>111</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Monserez, Mackenzie</cp:lastModifiedBy>
  <cp:revision>7</cp:revision>
  <cp:lastPrinted>2020-02-13T08:37:00Z</cp:lastPrinted>
  <dcterms:created xsi:type="dcterms:W3CDTF">2020-11-17T14:39:00Z</dcterms:created>
  <dcterms:modified xsi:type="dcterms:W3CDTF">2020-11-30T15:49:00Z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840c0f8-1866-4162-ad0f-2d70e03cc773_Enabled">
    <vt:lpwstr>True</vt:lpwstr>
  </property>
  <property fmtid="{D5CDD505-2E9C-101B-9397-08002B2CF9AE}" pid="3" name="MSIP_Label_7840c0f8-1866-4162-ad0f-2d70e03cc773_SiteId">
    <vt:lpwstr>b738c0f4-215a-438a-ad8b-3a8b60351c56</vt:lpwstr>
  </property>
  <property fmtid="{D5CDD505-2E9C-101B-9397-08002B2CF9AE}" pid="4" name="MSIP_Label_7840c0f8-1866-4162-ad0f-2d70e03cc773_Owner">
    <vt:lpwstr>meh@redbarnet.dk</vt:lpwstr>
  </property>
  <property fmtid="{D5CDD505-2E9C-101B-9397-08002B2CF9AE}" pid="5" name="MSIP_Label_7840c0f8-1866-4162-ad0f-2d70e03cc773_SetDate">
    <vt:lpwstr>2020-06-29T14:55:54.2688333Z</vt:lpwstr>
  </property>
  <property fmtid="{D5CDD505-2E9C-101B-9397-08002B2CF9AE}" pid="6" name="MSIP_Label_7840c0f8-1866-4162-ad0f-2d70e03cc773_Name">
    <vt:lpwstr>Public - Offentlig</vt:lpwstr>
  </property>
  <property fmtid="{D5CDD505-2E9C-101B-9397-08002B2CF9AE}" pid="7" name="MSIP_Label_7840c0f8-1866-4162-ad0f-2d70e03cc773_Application">
    <vt:lpwstr>Microsoft Azure Information Protection</vt:lpwstr>
  </property>
  <property fmtid="{D5CDD505-2E9C-101B-9397-08002B2CF9AE}" pid="8" name="MSIP_Label_7840c0f8-1866-4162-ad0f-2d70e03cc773_ActionId">
    <vt:lpwstr>e2c23936-d4a8-4ae6-ba30-a3da27bce361</vt:lpwstr>
  </property>
  <property fmtid="{D5CDD505-2E9C-101B-9397-08002B2CF9AE}" pid="9" name="MSIP_Label_7840c0f8-1866-4162-ad0f-2d70e03cc773_Extended_MSFT_Method">
    <vt:lpwstr>Automatic</vt:lpwstr>
  </property>
  <property fmtid="{D5CDD505-2E9C-101B-9397-08002B2CF9AE}" pid="10" name="Sensitivity">
    <vt:lpwstr>Public - Offentlig</vt:lpwstr>
  </property>
  <property fmtid="{D5CDD505-2E9C-101B-9397-08002B2CF9AE}" pid="11" name="ContentTypeId">
    <vt:lpwstr>0x0101006CE317431CEBC147987F05DAE86A27F6</vt:lpwstr>
  </property>
</Properties>
</file>